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09B">
        <w:rPr>
          <w:rFonts w:ascii="Times New Roman" w:hAnsi="Times New Roman"/>
          <w:sz w:val="28"/>
          <w:szCs w:val="28"/>
        </w:rPr>
        <w:t>Утвержден</w:t>
      </w:r>
    </w:p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09B">
        <w:rPr>
          <w:rFonts w:ascii="Times New Roman" w:hAnsi="Times New Roman"/>
          <w:sz w:val="28"/>
          <w:szCs w:val="28"/>
        </w:rPr>
        <w:t xml:space="preserve">приказом Министерства национальной политики </w:t>
      </w:r>
    </w:p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09B">
        <w:rPr>
          <w:rFonts w:ascii="Times New Roman" w:hAnsi="Times New Roman"/>
          <w:sz w:val="28"/>
          <w:szCs w:val="28"/>
        </w:rPr>
        <w:t xml:space="preserve"> Удмуртской Республики</w:t>
      </w:r>
    </w:p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09B">
        <w:rPr>
          <w:rFonts w:ascii="Times New Roman" w:hAnsi="Times New Roman"/>
          <w:sz w:val="28"/>
          <w:szCs w:val="28"/>
        </w:rPr>
        <w:t>от «____» февраля  2016 года № _________</w:t>
      </w:r>
    </w:p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5376" w:rsidRPr="0079509B" w:rsidRDefault="00115376" w:rsidP="0011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09B">
        <w:rPr>
          <w:rFonts w:ascii="Times New Roman" w:hAnsi="Times New Roman"/>
          <w:sz w:val="28"/>
          <w:szCs w:val="28"/>
        </w:rPr>
        <w:t>Приложение 1</w:t>
      </w:r>
    </w:p>
    <w:p w:rsidR="00115376" w:rsidRPr="0079509B" w:rsidRDefault="00115376" w:rsidP="0011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09B">
        <w:rPr>
          <w:rFonts w:ascii="Times New Roman" w:hAnsi="Times New Roman"/>
          <w:b/>
          <w:sz w:val="28"/>
          <w:szCs w:val="28"/>
        </w:rPr>
        <w:t xml:space="preserve">Порядок расчета видов нормативных затрат на закупку товаров, </w:t>
      </w:r>
    </w:p>
    <w:p w:rsidR="00115376" w:rsidRPr="0079509B" w:rsidRDefault="00115376" w:rsidP="0011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09B">
        <w:rPr>
          <w:rFonts w:ascii="Times New Roman" w:hAnsi="Times New Roman"/>
          <w:b/>
          <w:sz w:val="28"/>
          <w:szCs w:val="28"/>
        </w:rPr>
        <w:t>работ, услуг на обеспечение функций Министерства национальной политики Удмуртской Республики и подведомственного Бюджетного учреждения Удмуртской Республики «Дом Дружбы народов»</w:t>
      </w:r>
    </w:p>
    <w:p w:rsidR="00115376" w:rsidRPr="0079509B" w:rsidRDefault="00115376" w:rsidP="0011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услуги связи.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повременную оплату местных, междугородних и международных телефонных соединений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пов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391150" cy="438150"/>
            <wp:effectExtent l="0" t="0" r="0" b="0"/>
            <wp:docPr id="109" name="Рисунок 109" descr="base_23605_7964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605_79640_8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S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S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S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</w:t>
      </w:r>
      <w:r w:rsidRPr="0079509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оплату услуг подвижной связи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сот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76425" cy="476250"/>
            <wp:effectExtent l="0" t="0" r="0" b="0"/>
            <wp:docPr id="110" name="Рисунок 110" descr="base_23605_7964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605_79640_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нормативами; 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информационно-телекоммуникационную сеть "Интернет" и услуги 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112" name="Рисунок 112" descr="base_23605_7964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605_79640_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информационно-телекоммуникационной сети "Интернет" с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информационно-телекоммуникационной сети "Интернет" с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информационно-телекоммуникационной сети "Интернет" с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оплату услуг по предоставлению цифровых потоков для коммутируемых телефонных соединений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цп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476250"/>
            <wp:effectExtent l="0" t="0" r="0" b="0"/>
            <wp:docPr id="113" name="Рисунок 113" descr="base_23605_7964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605_79640_8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оплату иных услуг связи в сфере информационно-коммуникационных технологий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пр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76300" cy="476250"/>
            <wp:effectExtent l="0" t="0" r="0" b="0"/>
            <wp:docPr id="114" name="Рисунок 114" descr="base_23605_7964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605_79640_8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4"/>
      <w:bookmarkEnd w:id="0"/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рпм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120" name="Рисунок 120" descr="base_23605_7964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05_79640_9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Удмуртской Республики, органа управления Территориального фонда обязательного медицинского страхования Удмуртской Республики;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спо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,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справочно-правовых систем </w:t>
      </w:r>
      <w:r w:rsidRPr="0079509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76250"/>
            <wp:effectExtent l="0" t="0" r="0" b="0"/>
            <wp:docPr id="121" name="Рисунок 121" descr="base_23605_7964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05_79640_9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76400" cy="495300"/>
            <wp:effectExtent l="0" t="0" r="0" b="0"/>
            <wp:docPr id="122" name="Рисунок 122" descr="base_23605_7964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605_79640_9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плн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 в сфере информационно-коммуникационных технологий.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зп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136" name="Рисунок 136" descr="base_23605_79640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05_79640_10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запасной части;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дополнительное профессиональное образование работников.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работников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дпо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76375" cy="476250"/>
            <wp:effectExtent l="0" t="0" r="0" b="0"/>
            <wp:docPr id="138" name="Рисунок 138" descr="base_23605_79640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05_79640_1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 xml:space="preserve">Цена обучения одного работника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 определяется в соответствии со </w:t>
      </w:r>
      <w:hyperlink r:id="rId14" w:history="1">
        <w:r w:rsidRPr="0079509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79509B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функций): 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услуги связи,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14400" cy="285750"/>
            <wp:effectExtent l="19050" t="0" r="0" b="0"/>
            <wp:docPr id="140" name="Рисунок 140" descr="base_23605_79640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05_79640_11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почтовой связи;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специальной связи.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оплату услуг почтовой связи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1575" cy="476250"/>
            <wp:effectExtent l="0" t="0" r="0" b="0"/>
            <wp:docPr id="141" name="Рисунок 141" descr="base_23605_79640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05_79640_11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ком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</w:t>
      </w:r>
      <w:r w:rsidRPr="007950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,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15376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9B" w:rsidRDefault="0079509B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9B" w:rsidRDefault="0079509B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9B" w:rsidRDefault="0079509B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9B" w:rsidRPr="0079509B" w:rsidRDefault="0079509B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затраты на электроснабжение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эс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49" name="Рисунок 149" descr="base_23605_79640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605_79640_12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теплоснабжение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тс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,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Затраты на содержание имущества: 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содержание и техническое обслуживание помещений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сп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</w:t>
      </w:r>
    </w:p>
    <w:p w:rsidR="00115376" w:rsidRPr="0079509B" w:rsidRDefault="00115376" w:rsidP="00115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,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, </w:t>
      </w:r>
      <w:r w:rsidRPr="0079509B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трансформаторных подстанций,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Нормативные затраты на содержание и техническое обслуживание помещений могут быть включены в общую стоимость комплексных услуг управляющей компании.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содержание прилегающей территории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эз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156" name="Рисунок 156" descr="base_23605_79640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05_79640_12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S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Затраты на вывоз твердых бытовых отходов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,</w:t>
      </w:r>
    </w:p>
    <w:p w:rsidR="00115376" w:rsidRPr="0079509B" w:rsidRDefault="00115376" w:rsidP="00115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 лифтов (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1575" cy="476250"/>
            <wp:effectExtent l="0" t="0" r="0" b="0"/>
            <wp:docPr id="158" name="Рисунок 158" descr="base_23605_79640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05_79640_13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л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л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 ремонт системы газового пожаротушения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сгп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0" t="0" r="0" b="0"/>
            <wp:docPr id="161" name="Рисунок 161" descr="base_23605_79640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605_79640_13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</w:t>
      </w:r>
      <w:r w:rsidRPr="0079509B">
        <w:rPr>
          <w:rFonts w:ascii="Times New Roman" w:hAnsi="Times New Roman" w:cs="Times New Roman"/>
          <w:sz w:val="28"/>
          <w:szCs w:val="28"/>
        </w:rPr>
        <w:lastRenderedPageBreak/>
        <w:t>профилактического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</w:t>
      </w:r>
      <w:r w:rsidRPr="0079509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 ремонт систем пожарной сигнализации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спс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0" t="0" r="0" b="0"/>
            <wp:docPr id="163" name="Рисунок 163" descr="base_23605_79640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05_79640_13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79509B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регламентно-профилактический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 ремонт систем оповещения о пожаре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спс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509B">
        <w:rPr>
          <w:rFonts w:ascii="Times New Roman" w:hAnsi="Times New Roman" w:cs="Times New Roman"/>
          <w:noProof/>
          <w:color w:val="FF0000"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0" t="0" r="0" b="0"/>
            <wp:docPr id="87" name="Рисунок 87" descr="base_23605_79640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05_79640_13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оповещения о пожаре;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в месяц.  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проведение диспансеризации работников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дисп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Ч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,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Ч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оплату услуг вневедомственной охраны определяются по фактическим затратам; 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09B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прочих работ и услуг (полиса обязательного страхования лифта, техническое освидетельствование лифта, проверка пожарных кранов, испытание индивидуальных средств защиты, поверка измерительных приборов, оплата за негативное воздействие окружающей среды, утилизация люминесцентных ламп))  определяются по формуле: </w:t>
      </w:r>
      <w:proofErr w:type="gramEnd"/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28725" cy="476250"/>
            <wp:effectExtent l="0" t="0" r="0" b="0"/>
            <wp:docPr id="92" name="Рисунок 92" descr="base_23605_79640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605_79640_14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приобретаемых</w:t>
      </w:r>
      <w:proofErr w:type="gramStart"/>
      <w:r w:rsidRPr="007950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цена 1 -ой работы или услуги.</w:t>
      </w:r>
    </w:p>
    <w:p w:rsidR="00115376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9B" w:rsidRPr="0079509B" w:rsidRDefault="0079509B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lastRenderedPageBreak/>
        <w:t>Затраты на приобретение материальных запасов, определяются по формуле:</w:t>
      </w:r>
    </w:p>
    <w:p w:rsidR="00115376" w:rsidRPr="0079509B" w:rsidRDefault="00115376" w:rsidP="00115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33675" cy="266700"/>
            <wp:effectExtent l="19050" t="0" r="0" b="0"/>
            <wp:docPr id="180" name="Рисунок 180" descr="base_23605_79640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605_79640_15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приобретение канцелярских принадлежностей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канц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76250"/>
            <wp:effectExtent l="0" t="0" r="0" b="0"/>
            <wp:docPr id="182" name="Рисунок 182" descr="base_23605_7964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605_79640_15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N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Удмуртской Республики, органа управления Территориального фонда обязательного медицинского страхования Удмуртской Республики в расчете на основного работника;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Ч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9509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proofErr w:type="gramStart"/>
      <w:r w:rsidRPr="0079509B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 Удмуртской Республики, органа управления Территориального фонда обязательного медицинского страхования Удмуртской Республики;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приобретение хозяйственных товаров и принадлежностей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хп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183" name="Рисунок 183" descr="base_23605_79640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605_79640_15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государственных органов Удмуртской Республики, органа управления Территориального фонда обязательного медицинского страхования Удмуртской Республики;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 Удмуртской Республики, органа управления Территориального фонда обязательного </w:t>
      </w:r>
      <w:r w:rsidRPr="0079509B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 Удмуртской Республики;</w:t>
      </w:r>
    </w:p>
    <w:p w:rsidR="00115376" w:rsidRPr="0079509B" w:rsidRDefault="00115376" w:rsidP="00115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приобретение средств индивидуальной защиты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хп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 xml:space="preserve">) определяются по формуле: 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89" name="Рисунок 89" descr="base_23605_79640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05_79640_15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единицы средств индивидуальной защиты в соответствии с нормативами государственных органов РФ и Удмуртской Республики;</w:t>
      </w:r>
    </w:p>
    <w:p w:rsidR="00115376" w:rsidRPr="0079509B" w:rsidRDefault="00115376" w:rsidP="001153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Q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количество i-го средства индивидуальной защиты в соответствии с нормативами государственных органов РФ  Удмуртской Республики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холодное водоснабжение и водоотведение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З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>,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Т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водоотведение;</w:t>
      </w:r>
    </w:p>
    <w:p w:rsidR="00115376" w:rsidRPr="0079509B" w:rsidRDefault="00115376" w:rsidP="00115376">
      <w:pPr>
        <w:rPr>
          <w:rFonts w:ascii="Times New Roman" w:hAnsi="Times New Roman"/>
          <w:sz w:val="28"/>
          <w:szCs w:val="28"/>
        </w:rPr>
      </w:pP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B">
        <w:rPr>
          <w:rFonts w:ascii="Times New Roman" w:hAnsi="Times New Roman" w:cs="Times New Roman"/>
          <w:b/>
          <w:sz w:val="28"/>
          <w:szCs w:val="28"/>
        </w:rPr>
        <w:t>Нормативные затраты на оплату услуг лиц, привлекаемых на основании гражданско-правовых договоров, (</w:t>
      </w:r>
      <w:proofErr w:type="spellStart"/>
      <w:r w:rsidRPr="0079509B">
        <w:rPr>
          <w:rFonts w:ascii="Times New Roman" w:hAnsi="Times New Roman" w:cs="Times New Roman"/>
          <w:b/>
          <w:sz w:val="28"/>
          <w:szCs w:val="28"/>
        </w:rPr>
        <w:t>З</w:t>
      </w:r>
      <w:r w:rsidRPr="0079509B">
        <w:rPr>
          <w:rFonts w:ascii="Times New Roman" w:hAnsi="Times New Roman" w:cs="Times New Roman"/>
          <w:b/>
          <w:sz w:val="28"/>
          <w:szCs w:val="28"/>
          <w:vertAlign w:val="subscript"/>
        </w:rPr>
        <w:t>внсп</w:t>
      </w:r>
      <w:proofErr w:type="spellEnd"/>
      <w:r w:rsidRPr="0079509B">
        <w:rPr>
          <w:rFonts w:ascii="Times New Roman" w:hAnsi="Times New Roman" w:cs="Times New Roman"/>
          <w:b/>
          <w:sz w:val="28"/>
          <w:szCs w:val="28"/>
        </w:rPr>
        <w:t>) определяются по формуле:</w:t>
      </w:r>
    </w:p>
    <w:p w:rsidR="00115376" w:rsidRPr="0079509B" w:rsidRDefault="00115376" w:rsidP="00115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80615" cy="500380"/>
            <wp:effectExtent l="0" t="0" r="0" b="0"/>
            <wp:docPr id="266" name="Рисунок 266" descr="base_23605_79640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05_79640_14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где: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M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лица, привлекаемого на основании трудового договора в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P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цена 1 месяца работы лица, привлекаемого на основании трудового договора в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9B">
        <w:rPr>
          <w:rFonts w:ascii="Times New Roman" w:hAnsi="Times New Roman" w:cs="Times New Roman"/>
          <w:sz w:val="28"/>
          <w:szCs w:val="28"/>
        </w:rPr>
        <w:t>t</w:t>
      </w:r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509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Расчет затрат на оплату услуг лица, привлекаемого на основании трудового договора может быть произведен при условии отсутствия соответствующей должности (профессии рабочего) в штатном расписании.</w:t>
      </w:r>
    </w:p>
    <w:p w:rsidR="00115376" w:rsidRPr="0079509B" w:rsidRDefault="00115376" w:rsidP="0011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115376" w:rsidRPr="0079509B" w:rsidRDefault="00115376" w:rsidP="00115376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376" w:rsidRPr="0079509B" w:rsidRDefault="00115376" w:rsidP="00115376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Нормативы затраты на организацию и проведение социологического исследования, организацию и проведение семинаров, </w:t>
      </w:r>
      <w:r w:rsidRPr="0079509B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ПЭБ «Удмуртская книга», актуализация коллекций ПЭБ «Удмуртская книга», определяется в соответствии со </w:t>
      </w:r>
      <w:hyperlink r:id="rId27" w:history="1">
        <w:r w:rsidRPr="0079509B">
          <w:rPr>
            <w:rFonts w:ascii="Times New Roman" w:hAnsi="Times New Roman"/>
            <w:b/>
            <w:sz w:val="28"/>
            <w:szCs w:val="28"/>
          </w:rPr>
          <w:t>статьей 22</w:t>
        </w:r>
      </w:hyperlink>
      <w:r w:rsidRPr="0079509B">
        <w:rPr>
          <w:rFonts w:ascii="Times New Roman" w:hAnsi="Times New Roman"/>
          <w:b/>
          <w:sz w:val="28"/>
          <w:szCs w:val="28"/>
        </w:rPr>
        <w:t xml:space="preserve"> Федерального закона N 44-ФЗ.</w:t>
      </w:r>
    </w:p>
    <w:p w:rsidR="001015BF" w:rsidRPr="0079509B" w:rsidRDefault="001015BF">
      <w:pPr>
        <w:rPr>
          <w:rFonts w:ascii="Times New Roman" w:hAnsi="Times New Roman"/>
          <w:sz w:val="28"/>
          <w:szCs w:val="28"/>
        </w:rPr>
      </w:pPr>
    </w:p>
    <w:sectPr w:rsidR="001015BF" w:rsidRPr="0079509B" w:rsidSect="0010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76"/>
    <w:rsid w:val="001015BF"/>
    <w:rsid w:val="00115376"/>
    <w:rsid w:val="0079509B"/>
    <w:rsid w:val="00AA2791"/>
    <w:rsid w:val="00AE0421"/>
    <w:rsid w:val="00F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hyperlink" Target="consultantplus://offline/ref=423ACF6441EA81297B9C81DE640824F089CCB6CDF8195E189A8E8E418C9B38433CEA62B03A84E99DI26CM" TargetMode="External"/><Relationship Id="rId22" Type="http://schemas.openxmlformats.org/officeDocument/2006/relationships/image" Target="media/image18.wmf"/><Relationship Id="rId27" Type="http://schemas.openxmlformats.org/officeDocument/2006/relationships/hyperlink" Target="consultantplus://offline/ref=423ACF6441EA81297B9C81DE640824F089CCB6CDF8195E189A8E8E418C9B38433CEA62B03A84E99DI26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2509</Words>
  <Characters>14303</Characters>
  <Application>Microsoft Office Word</Application>
  <DocSecurity>0</DocSecurity>
  <Lines>119</Lines>
  <Paragraphs>33</Paragraphs>
  <ScaleCrop>false</ScaleCrop>
  <Company>minnac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Minlebaeva</dc:creator>
  <cp:keywords/>
  <dc:description/>
  <cp:lastModifiedBy>Minlebaeva</cp:lastModifiedBy>
  <cp:revision>4</cp:revision>
  <dcterms:created xsi:type="dcterms:W3CDTF">2016-02-19T11:43:00Z</dcterms:created>
  <dcterms:modified xsi:type="dcterms:W3CDTF">2016-02-19T11:49:00Z</dcterms:modified>
</cp:coreProperties>
</file>