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DC" w:rsidRPr="005F6849" w:rsidRDefault="001A2EDC" w:rsidP="001A2E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ДОКЛАД</w:t>
      </w:r>
    </w:p>
    <w:p w:rsidR="001A2EDC" w:rsidRDefault="001A2EDC" w:rsidP="001A2EDC">
      <w:pPr>
        <w:jc w:val="center"/>
        <w:rPr>
          <w:b/>
          <w:sz w:val="26"/>
          <w:szCs w:val="26"/>
        </w:rPr>
      </w:pPr>
      <w:r w:rsidRPr="005F6849">
        <w:rPr>
          <w:b/>
          <w:sz w:val="26"/>
          <w:szCs w:val="26"/>
        </w:rPr>
        <w:t>о реализации Государственной программы Удмуртской Республики «Этносоциальное развитие и гармонизация межэтнических отношений»</w:t>
      </w:r>
    </w:p>
    <w:p w:rsidR="001A2EDC" w:rsidRPr="005F6849" w:rsidRDefault="001A2EDC" w:rsidP="001A2E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Pr="005F6849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6</w:t>
      </w:r>
      <w:r w:rsidRPr="005F6849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у</w:t>
      </w:r>
    </w:p>
    <w:p w:rsidR="001A2EDC" w:rsidRPr="005F6849" w:rsidRDefault="001A2EDC" w:rsidP="001A2EDC">
      <w:pPr>
        <w:jc w:val="center"/>
        <w:rPr>
          <w:b/>
          <w:sz w:val="26"/>
          <w:szCs w:val="26"/>
        </w:rPr>
      </w:pPr>
    </w:p>
    <w:p w:rsidR="001A2EDC" w:rsidRPr="004762BE" w:rsidRDefault="001A2EDC" w:rsidP="001A2EDC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  <w:r w:rsidRPr="004762BE">
        <w:rPr>
          <w:b/>
          <w:sz w:val="26"/>
          <w:szCs w:val="26"/>
        </w:rPr>
        <w:t>Основные результаты реализации государственной программы, достигнутые в отчетном году; вклад основных результатов в решение задач и</w:t>
      </w:r>
    </w:p>
    <w:p w:rsidR="001A2EDC" w:rsidRDefault="001A2EDC" w:rsidP="001A2EDC">
      <w:pPr>
        <w:jc w:val="center"/>
        <w:rPr>
          <w:b/>
          <w:sz w:val="26"/>
          <w:szCs w:val="26"/>
        </w:rPr>
      </w:pPr>
      <w:r w:rsidRPr="004762BE">
        <w:rPr>
          <w:b/>
          <w:sz w:val="26"/>
          <w:szCs w:val="26"/>
        </w:rPr>
        <w:t>достижение целей государственной программы; анализ факторов повлиявших на ход реализации программы; обоснование причин недовыполнения целевых показателей (индикаторов) Межнациональные отношения и этнокультурное развитие народов Российской Федерации</w:t>
      </w:r>
    </w:p>
    <w:p w:rsidR="001A2EDC" w:rsidRPr="004F2F48" w:rsidRDefault="001A2EDC" w:rsidP="001A2EDC">
      <w:pPr>
        <w:suppressAutoHyphens/>
        <w:jc w:val="center"/>
        <w:outlineLvl w:val="0"/>
        <w:rPr>
          <w:b/>
          <w:sz w:val="26"/>
          <w:szCs w:val="26"/>
        </w:rPr>
      </w:pPr>
    </w:p>
    <w:p w:rsidR="001A2EDC" w:rsidRDefault="001A2EDC" w:rsidP="001A2EDC">
      <w:pPr>
        <w:pStyle w:val="1"/>
        <w:shd w:val="clear" w:color="auto" w:fill="FFFFFF"/>
        <w:spacing w:before="120" w:after="0" w:line="240" w:lineRule="auto"/>
        <w:ind w:firstLine="55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4539D">
        <w:rPr>
          <w:rFonts w:ascii="Times New Roman" w:hAnsi="Times New Roman" w:cs="Times New Roman"/>
          <w:b w:val="0"/>
          <w:sz w:val="26"/>
          <w:szCs w:val="26"/>
        </w:rPr>
        <w:t>Работа в сфере гармонизации межнациональных отношений на территории Удмуртской Республики ведется в рамках государственной программы Удмуртской Республики «Этносоциальное развитие и гармонизация ме</w:t>
      </w:r>
      <w:r>
        <w:rPr>
          <w:rFonts w:ascii="Times New Roman" w:hAnsi="Times New Roman" w:cs="Times New Roman"/>
          <w:b w:val="0"/>
          <w:sz w:val="26"/>
          <w:szCs w:val="26"/>
        </w:rPr>
        <w:t>жэтнических отношений».</w:t>
      </w:r>
    </w:p>
    <w:p w:rsidR="001A2EDC" w:rsidRDefault="001A2EDC" w:rsidP="001A2EDC">
      <w:pPr>
        <w:ind w:firstLine="567"/>
        <w:jc w:val="both"/>
        <w:rPr>
          <w:sz w:val="26"/>
          <w:szCs w:val="26"/>
          <w:lang w:eastAsia="en-US"/>
        </w:rPr>
      </w:pPr>
      <w:proofErr w:type="gramStart"/>
      <w:r w:rsidRPr="0062295A">
        <w:rPr>
          <w:b/>
          <w:sz w:val="26"/>
          <w:szCs w:val="26"/>
          <w:lang w:eastAsia="en-US"/>
        </w:rPr>
        <w:t xml:space="preserve">В рамках указанной государственной программы было запланировано 10 основных мероприятий, </w:t>
      </w:r>
      <w:r w:rsidR="004554E7" w:rsidRPr="0062295A">
        <w:rPr>
          <w:b/>
          <w:sz w:val="26"/>
          <w:szCs w:val="26"/>
          <w:lang w:eastAsia="en-US"/>
        </w:rPr>
        <w:t>исполнены – 10.</w:t>
      </w:r>
      <w:r w:rsidR="004554E7" w:rsidRPr="004554E7">
        <w:rPr>
          <w:sz w:val="26"/>
          <w:szCs w:val="26"/>
          <w:lang w:eastAsia="en-US"/>
        </w:rPr>
        <w:t xml:space="preserve"> </w:t>
      </w:r>
      <w:proofErr w:type="gramEnd"/>
    </w:p>
    <w:p w:rsidR="0062295A" w:rsidRDefault="0062295A" w:rsidP="001A2EDC">
      <w:pPr>
        <w:ind w:firstLine="567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</w:t>
      </w:r>
      <w:r w:rsidRPr="0062295A">
        <w:rPr>
          <w:sz w:val="26"/>
          <w:szCs w:val="26"/>
          <w:lang w:eastAsia="en-US"/>
        </w:rPr>
        <w:t xml:space="preserve">водная бюджетная роспись </w:t>
      </w:r>
      <w:r>
        <w:rPr>
          <w:sz w:val="26"/>
          <w:szCs w:val="26"/>
          <w:lang w:eastAsia="en-US"/>
        </w:rPr>
        <w:t xml:space="preserve">государственной программы «Этносоциальное развитие и гармонизация межэтнических отношений» составила </w:t>
      </w:r>
      <w:r w:rsidRPr="0062295A">
        <w:rPr>
          <w:sz w:val="26"/>
          <w:szCs w:val="26"/>
          <w:lang w:eastAsia="en-US"/>
        </w:rPr>
        <w:t>90 903,1</w:t>
      </w:r>
      <w:r>
        <w:rPr>
          <w:sz w:val="26"/>
          <w:szCs w:val="26"/>
          <w:lang w:eastAsia="en-US"/>
        </w:rPr>
        <w:t xml:space="preserve"> тыс. рублей, </w:t>
      </w:r>
      <w:r w:rsidR="00413968">
        <w:rPr>
          <w:sz w:val="26"/>
          <w:szCs w:val="26"/>
          <w:lang w:eastAsia="en-US"/>
        </w:rPr>
        <w:t xml:space="preserve">кассовое исполнение – </w:t>
      </w:r>
      <w:r w:rsidRPr="0062295A">
        <w:rPr>
          <w:sz w:val="26"/>
          <w:szCs w:val="26"/>
          <w:lang w:eastAsia="en-US"/>
        </w:rPr>
        <w:t>90 607,6</w:t>
      </w:r>
      <w:r w:rsidR="00413968">
        <w:rPr>
          <w:sz w:val="26"/>
          <w:szCs w:val="26"/>
          <w:lang w:eastAsia="en-US"/>
        </w:rPr>
        <w:t xml:space="preserve"> тыс. рублей (из них 8 750,9 тыс</w:t>
      </w:r>
      <w:proofErr w:type="gramStart"/>
      <w:r w:rsidR="00413968">
        <w:rPr>
          <w:sz w:val="26"/>
          <w:szCs w:val="26"/>
          <w:lang w:eastAsia="en-US"/>
        </w:rPr>
        <w:t>.р</w:t>
      </w:r>
      <w:proofErr w:type="gramEnd"/>
      <w:r w:rsidR="00413968">
        <w:rPr>
          <w:sz w:val="26"/>
          <w:szCs w:val="26"/>
          <w:lang w:eastAsia="en-US"/>
        </w:rPr>
        <w:t xml:space="preserve">уб. из средств федерального бюджета). Таким образом, </w:t>
      </w:r>
      <w:r w:rsidR="001377ED">
        <w:rPr>
          <w:sz w:val="26"/>
          <w:szCs w:val="26"/>
          <w:lang w:eastAsia="en-US"/>
        </w:rPr>
        <w:t>с</w:t>
      </w:r>
      <w:r w:rsidR="00A81993" w:rsidRPr="00A81993">
        <w:rPr>
          <w:sz w:val="26"/>
          <w:szCs w:val="26"/>
          <w:lang w:eastAsia="en-US"/>
        </w:rPr>
        <w:t>тепень соответствия запланированному уровню расходов государственной программы за счет средств бюдже</w:t>
      </w:r>
      <w:r w:rsidR="001377ED">
        <w:rPr>
          <w:sz w:val="26"/>
          <w:szCs w:val="26"/>
          <w:lang w:eastAsia="en-US"/>
        </w:rPr>
        <w:t>та Удмуртской Республики составляет</w:t>
      </w:r>
      <w:r w:rsidR="00413968">
        <w:rPr>
          <w:sz w:val="26"/>
          <w:szCs w:val="26"/>
          <w:lang w:eastAsia="en-US"/>
        </w:rPr>
        <w:t xml:space="preserve"> </w:t>
      </w:r>
      <w:r w:rsidR="00413968" w:rsidRPr="00413968">
        <w:rPr>
          <w:b/>
          <w:sz w:val="26"/>
          <w:szCs w:val="26"/>
          <w:lang w:eastAsia="en-US"/>
        </w:rPr>
        <w:t>99,7 %.</w:t>
      </w:r>
    </w:p>
    <w:p w:rsidR="001A2EDC" w:rsidRDefault="001A2EDC" w:rsidP="001A2EDC">
      <w:pPr>
        <w:pStyle w:val="1"/>
        <w:shd w:val="clear" w:color="auto" w:fill="FFFFFF"/>
        <w:spacing w:before="0" w:after="0" w:line="240" w:lineRule="auto"/>
        <w:ind w:firstLine="550"/>
        <w:jc w:val="both"/>
        <w:rPr>
          <w:rFonts w:ascii="Times New Roman" w:eastAsia="Times New Roman CYR" w:hAnsi="Times New Roman" w:cs="Times New Roman"/>
          <w:b w:val="0"/>
          <w:sz w:val="26"/>
          <w:szCs w:val="26"/>
        </w:rPr>
      </w:pPr>
      <w:r w:rsidRPr="00243ED9">
        <w:rPr>
          <w:rFonts w:ascii="Times New Roman" w:eastAsia="Times New Roman CYR" w:hAnsi="Times New Roman" w:cs="Times New Roman"/>
          <w:b w:val="0"/>
          <w:sz w:val="26"/>
          <w:szCs w:val="26"/>
        </w:rPr>
        <w:t xml:space="preserve">В Удмуртии по-прежнему сохраняются доброжелательные межэтнические отношения. Этнокультурные и конфессиональные различия не являются факторами дестабилизации общественно-политического климата, воспринимаются в обществе спокойно. Резонансных конфликтов, мотивированных этнической принадлежностью сторон, допущено не было. Попыток политизации вопросов этнического характера в </w:t>
      </w:r>
      <w:r>
        <w:rPr>
          <w:rFonts w:ascii="Times New Roman" w:eastAsia="Times New Roman CYR" w:hAnsi="Times New Roman" w:cs="Times New Roman"/>
          <w:b w:val="0"/>
          <w:sz w:val="26"/>
          <w:szCs w:val="26"/>
        </w:rPr>
        <w:t>отчетном</w:t>
      </w:r>
      <w:r w:rsidRPr="00243ED9">
        <w:rPr>
          <w:rFonts w:ascii="Times New Roman" w:eastAsia="Times New Roman CYR" w:hAnsi="Times New Roman" w:cs="Times New Roman"/>
          <w:b w:val="0"/>
          <w:sz w:val="26"/>
          <w:szCs w:val="26"/>
        </w:rPr>
        <w:t xml:space="preserve"> году, в том числе и в ходе избирательной кампании, не отмечено.</w:t>
      </w:r>
    </w:p>
    <w:p w:rsidR="001A2EDC" w:rsidRPr="00D871AE" w:rsidRDefault="001A2EDC" w:rsidP="001A2EDC">
      <w:pPr>
        <w:ind w:firstLine="567"/>
        <w:jc w:val="both"/>
        <w:rPr>
          <w:rFonts w:eastAsia="Times New Roman CYR"/>
          <w:sz w:val="26"/>
          <w:szCs w:val="26"/>
          <w:lang w:eastAsia="en-US"/>
        </w:rPr>
      </w:pPr>
      <w:r w:rsidRPr="00D871AE">
        <w:rPr>
          <w:rFonts w:eastAsia="Times New Roman CYR"/>
          <w:sz w:val="26"/>
          <w:szCs w:val="26"/>
          <w:lang w:eastAsia="en-US"/>
        </w:rPr>
        <w:t>В целях диагностики текущего состояния межэтнических отношений и выявления факторов риска в данной сфере в Удмуртской Республике ежегодно проводятся опросы общественного мнения. В ноябре-декабре 2016 года проведено очередное социологическое исследование «Межэтнические отношения в Удмуртской Республике: текущее состояние и основные факторы риска».</w:t>
      </w:r>
    </w:p>
    <w:p w:rsidR="001A2EDC" w:rsidRDefault="001A2EDC" w:rsidP="001A2EDC">
      <w:pPr>
        <w:shd w:val="clear" w:color="auto" w:fill="FFFFFF"/>
        <w:ind w:firstLine="539"/>
        <w:jc w:val="both"/>
        <w:rPr>
          <w:color w:val="000000"/>
          <w:sz w:val="26"/>
          <w:szCs w:val="26"/>
          <w:shd w:val="clear" w:color="auto" w:fill="FFFFFF"/>
        </w:rPr>
      </w:pPr>
      <w:r w:rsidRPr="00ED027A">
        <w:rPr>
          <w:color w:val="000000"/>
          <w:sz w:val="26"/>
          <w:szCs w:val="26"/>
          <w:shd w:val="clear" w:color="auto" w:fill="FFFFFF"/>
        </w:rPr>
        <w:t xml:space="preserve">Результаты </w:t>
      </w:r>
      <w:r w:rsidRPr="00ED027A">
        <w:rPr>
          <w:sz w:val="26"/>
          <w:szCs w:val="26"/>
        </w:rPr>
        <w:t xml:space="preserve">исследования </w:t>
      </w:r>
      <w:r w:rsidRPr="00ED027A">
        <w:rPr>
          <w:color w:val="000000"/>
          <w:sz w:val="26"/>
          <w:szCs w:val="26"/>
          <w:shd w:val="clear" w:color="auto" w:fill="FFFFFF"/>
        </w:rPr>
        <w:t xml:space="preserve">показывают, что </w:t>
      </w:r>
      <w:r w:rsidRPr="004554E7">
        <w:rPr>
          <w:b/>
          <w:color w:val="000000"/>
          <w:sz w:val="26"/>
          <w:szCs w:val="26"/>
          <w:shd w:val="clear" w:color="auto" w:fill="FFFFFF"/>
        </w:rPr>
        <w:t>доля граждан, положительно оценивающих состояние межнациональных отношений в Удмуртской Республике</w:t>
      </w:r>
      <w:r w:rsidRPr="00ED027A">
        <w:rPr>
          <w:color w:val="000000"/>
          <w:sz w:val="26"/>
          <w:szCs w:val="26"/>
          <w:shd w:val="clear" w:color="auto" w:fill="FFFFFF"/>
        </w:rPr>
        <w:t>, повысилась относительно предш</w:t>
      </w:r>
      <w:r>
        <w:rPr>
          <w:color w:val="000000"/>
          <w:sz w:val="26"/>
          <w:szCs w:val="26"/>
          <w:shd w:val="clear" w:color="auto" w:fill="FFFFFF"/>
        </w:rPr>
        <w:t>ествующих лет и составила 67,3% (плановый показатель – 66,5 %).</w:t>
      </w:r>
    </w:p>
    <w:p w:rsidR="001A2EDC" w:rsidRPr="00ED027A" w:rsidRDefault="001A2EDC" w:rsidP="001A2EDC">
      <w:pPr>
        <w:spacing w:before="120" w:after="120"/>
        <w:jc w:val="center"/>
        <w:rPr>
          <w:b/>
          <w:sz w:val="26"/>
          <w:szCs w:val="26"/>
        </w:rPr>
      </w:pPr>
      <w:r w:rsidRPr="00ED027A">
        <w:rPr>
          <w:b/>
          <w:sz w:val="26"/>
          <w:szCs w:val="26"/>
        </w:rPr>
        <w:t>Как Вы оцениваете межнациональную обстановку в Удмуртии?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3"/>
        <w:gridCol w:w="1514"/>
        <w:gridCol w:w="1514"/>
        <w:gridCol w:w="1514"/>
        <w:gridCol w:w="1514"/>
      </w:tblGrid>
      <w:tr w:rsidR="001A2EDC" w:rsidRPr="00ED027A" w:rsidTr="00552CDF">
        <w:trPr>
          <w:jc w:val="center"/>
        </w:trPr>
        <w:tc>
          <w:tcPr>
            <w:tcW w:w="3583" w:type="dxa"/>
          </w:tcPr>
          <w:p w:rsidR="001A2EDC" w:rsidRPr="00ED027A" w:rsidRDefault="001A2EDC" w:rsidP="00552CDF">
            <w:pPr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:rsidR="001A2EDC" w:rsidRPr="00ED027A" w:rsidRDefault="001A2EDC" w:rsidP="00552CD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D027A">
              <w:rPr>
                <w:b/>
                <w:color w:val="000000"/>
                <w:sz w:val="26"/>
                <w:szCs w:val="26"/>
              </w:rPr>
              <w:t>2013 год</w:t>
            </w:r>
          </w:p>
        </w:tc>
        <w:tc>
          <w:tcPr>
            <w:tcW w:w="1514" w:type="dxa"/>
          </w:tcPr>
          <w:p w:rsidR="001A2EDC" w:rsidRPr="00ED027A" w:rsidRDefault="001A2EDC" w:rsidP="00552CD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D027A">
              <w:rPr>
                <w:b/>
                <w:color w:val="000000"/>
                <w:sz w:val="26"/>
                <w:szCs w:val="26"/>
              </w:rPr>
              <w:t>2014 год</w:t>
            </w:r>
          </w:p>
        </w:tc>
        <w:tc>
          <w:tcPr>
            <w:tcW w:w="1514" w:type="dxa"/>
          </w:tcPr>
          <w:p w:rsidR="001A2EDC" w:rsidRPr="00ED027A" w:rsidRDefault="001A2EDC" w:rsidP="00552CDF">
            <w:pPr>
              <w:jc w:val="center"/>
              <w:rPr>
                <w:b/>
                <w:sz w:val="26"/>
                <w:szCs w:val="26"/>
              </w:rPr>
            </w:pPr>
            <w:r w:rsidRPr="00ED027A">
              <w:rPr>
                <w:b/>
                <w:sz w:val="26"/>
                <w:szCs w:val="26"/>
              </w:rPr>
              <w:t>2015 год</w:t>
            </w:r>
          </w:p>
        </w:tc>
        <w:tc>
          <w:tcPr>
            <w:tcW w:w="1514" w:type="dxa"/>
          </w:tcPr>
          <w:p w:rsidR="001A2EDC" w:rsidRPr="00ED027A" w:rsidRDefault="001A2EDC" w:rsidP="00552CDF">
            <w:pPr>
              <w:jc w:val="center"/>
              <w:rPr>
                <w:b/>
                <w:sz w:val="26"/>
                <w:szCs w:val="26"/>
              </w:rPr>
            </w:pPr>
            <w:r w:rsidRPr="00ED027A">
              <w:rPr>
                <w:b/>
                <w:sz w:val="26"/>
                <w:szCs w:val="26"/>
              </w:rPr>
              <w:t>2016 год</w:t>
            </w:r>
          </w:p>
        </w:tc>
      </w:tr>
      <w:tr w:rsidR="001A2EDC" w:rsidRPr="00ED027A" w:rsidTr="00552CDF">
        <w:trPr>
          <w:jc w:val="center"/>
        </w:trPr>
        <w:tc>
          <w:tcPr>
            <w:tcW w:w="3583" w:type="dxa"/>
          </w:tcPr>
          <w:p w:rsidR="001A2EDC" w:rsidRPr="00ED027A" w:rsidRDefault="001A2EDC" w:rsidP="00552CDF">
            <w:pPr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1. Спокойная</w:t>
            </w:r>
          </w:p>
        </w:tc>
        <w:tc>
          <w:tcPr>
            <w:tcW w:w="1514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52,5</w:t>
            </w:r>
          </w:p>
        </w:tc>
        <w:tc>
          <w:tcPr>
            <w:tcW w:w="1514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66,0</w:t>
            </w:r>
          </w:p>
        </w:tc>
        <w:tc>
          <w:tcPr>
            <w:tcW w:w="1514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66,8</w:t>
            </w:r>
          </w:p>
        </w:tc>
        <w:tc>
          <w:tcPr>
            <w:tcW w:w="1514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67,3</w:t>
            </w:r>
          </w:p>
        </w:tc>
      </w:tr>
      <w:tr w:rsidR="001A2EDC" w:rsidRPr="00ED027A" w:rsidTr="00552CDF">
        <w:trPr>
          <w:jc w:val="center"/>
        </w:trPr>
        <w:tc>
          <w:tcPr>
            <w:tcW w:w="3583" w:type="dxa"/>
          </w:tcPr>
          <w:p w:rsidR="001A2EDC" w:rsidRPr="00ED027A" w:rsidRDefault="001A2EDC" w:rsidP="00552CDF">
            <w:pPr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2. Тревожная</w:t>
            </w:r>
          </w:p>
        </w:tc>
        <w:tc>
          <w:tcPr>
            <w:tcW w:w="1514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C767E8">
              <w:rPr>
                <w:color w:val="000000"/>
                <w:sz w:val="26"/>
                <w:szCs w:val="26"/>
                <w:shd w:val="clear" w:color="auto" w:fill="FFFFFF"/>
              </w:rPr>
              <w:t>31,8</w:t>
            </w:r>
          </w:p>
        </w:tc>
        <w:tc>
          <w:tcPr>
            <w:tcW w:w="1514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C767E8">
              <w:rPr>
                <w:color w:val="000000"/>
                <w:sz w:val="26"/>
                <w:szCs w:val="26"/>
                <w:shd w:val="clear" w:color="auto" w:fill="FFFFFF"/>
              </w:rPr>
              <w:t>22,3</w:t>
            </w:r>
          </w:p>
        </w:tc>
        <w:tc>
          <w:tcPr>
            <w:tcW w:w="1514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C767E8">
              <w:rPr>
                <w:color w:val="000000"/>
                <w:sz w:val="26"/>
                <w:szCs w:val="26"/>
                <w:shd w:val="clear" w:color="auto" w:fill="FFFFFF"/>
              </w:rPr>
              <w:t>22,2</w:t>
            </w:r>
          </w:p>
        </w:tc>
        <w:tc>
          <w:tcPr>
            <w:tcW w:w="1514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C767E8">
              <w:rPr>
                <w:color w:val="000000"/>
                <w:sz w:val="26"/>
                <w:szCs w:val="26"/>
                <w:shd w:val="clear" w:color="auto" w:fill="FFFFFF"/>
              </w:rPr>
              <w:t>21,1</w:t>
            </w:r>
          </w:p>
        </w:tc>
      </w:tr>
      <w:tr w:rsidR="001A2EDC" w:rsidRPr="00ED027A" w:rsidTr="00552CDF">
        <w:trPr>
          <w:jc w:val="center"/>
        </w:trPr>
        <w:tc>
          <w:tcPr>
            <w:tcW w:w="3583" w:type="dxa"/>
          </w:tcPr>
          <w:p w:rsidR="001A2EDC" w:rsidRPr="00ED027A" w:rsidRDefault="001A2EDC" w:rsidP="00552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ED027A">
              <w:rPr>
                <w:sz w:val="26"/>
                <w:szCs w:val="26"/>
              </w:rPr>
              <w:t>. Затрудняюсь ответить</w:t>
            </w:r>
          </w:p>
        </w:tc>
        <w:tc>
          <w:tcPr>
            <w:tcW w:w="1514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15,7</w:t>
            </w:r>
          </w:p>
        </w:tc>
        <w:tc>
          <w:tcPr>
            <w:tcW w:w="1514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11,7</w:t>
            </w:r>
          </w:p>
        </w:tc>
        <w:tc>
          <w:tcPr>
            <w:tcW w:w="1514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11,0</w:t>
            </w:r>
          </w:p>
        </w:tc>
        <w:tc>
          <w:tcPr>
            <w:tcW w:w="1514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11,6</w:t>
            </w:r>
          </w:p>
        </w:tc>
      </w:tr>
    </w:tbl>
    <w:p w:rsidR="001A2EDC" w:rsidRPr="00ED027A" w:rsidRDefault="001A2EDC" w:rsidP="001A2EDC">
      <w:pPr>
        <w:pStyle w:val="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1A2EDC" w:rsidRPr="00ED027A" w:rsidRDefault="001A2EDC" w:rsidP="001A2EDC">
      <w:pPr>
        <w:pStyle w:val="2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767E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ab/>
      </w:r>
      <w:r w:rsidRPr="00ED02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Несколько вырос и уровень «оптимизма» относительно возможности конфликтов на межнациональной почве: 23,9% опрошенных считают, что данные конфликты невозможны, 38,3% полагают, что шанс их возникновения маловероятен:</w:t>
      </w:r>
    </w:p>
    <w:p w:rsidR="001A2EDC" w:rsidRPr="00ED027A" w:rsidRDefault="001A2EDC" w:rsidP="001A2EDC">
      <w:pPr>
        <w:pStyle w:val="a3"/>
        <w:spacing w:before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027A">
        <w:rPr>
          <w:rFonts w:ascii="Times New Roman" w:hAnsi="Times New Roman"/>
          <w:b/>
          <w:sz w:val="26"/>
          <w:szCs w:val="26"/>
        </w:rPr>
        <w:t>Могут ли, на Ваш взгляд, произойти межнациональные конфликты в нашей республике?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2"/>
        <w:gridCol w:w="1254"/>
        <w:gridCol w:w="1254"/>
        <w:gridCol w:w="1253"/>
        <w:gridCol w:w="1254"/>
        <w:gridCol w:w="1254"/>
      </w:tblGrid>
      <w:tr w:rsidR="001A2EDC" w:rsidRPr="00ED027A" w:rsidTr="00552CDF">
        <w:tc>
          <w:tcPr>
            <w:tcW w:w="3369" w:type="dxa"/>
          </w:tcPr>
          <w:p w:rsidR="001A2EDC" w:rsidRPr="00ED027A" w:rsidRDefault="001A2EDC" w:rsidP="00552CDF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1A2EDC" w:rsidRPr="00ED027A" w:rsidRDefault="001A2EDC" w:rsidP="00552CD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D027A">
              <w:rPr>
                <w:b/>
                <w:color w:val="000000"/>
                <w:sz w:val="26"/>
                <w:szCs w:val="26"/>
              </w:rPr>
              <w:t>2011 год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D027A">
              <w:rPr>
                <w:b/>
                <w:color w:val="000000"/>
                <w:sz w:val="26"/>
                <w:szCs w:val="26"/>
              </w:rPr>
              <w:t>2013 год</w:t>
            </w:r>
          </w:p>
        </w:tc>
        <w:tc>
          <w:tcPr>
            <w:tcW w:w="1275" w:type="dxa"/>
          </w:tcPr>
          <w:p w:rsidR="001A2EDC" w:rsidRPr="00ED027A" w:rsidRDefault="001A2EDC" w:rsidP="00552CD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D027A">
              <w:rPr>
                <w:b/>
                <w:color w:val="000000"/>
                <w:sz w:val="26"/>
                <w:szCs w:val="26"/>
              </w:rPr>
              <w:t>2014 год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D027A">
              <w:rPr>
                <w:b/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D027A">
              <w:rPr>
                <w:b/>
                <w:color w:val="000000"/>
                <w:sz w:val="26"/>
                <w:szCs w:val="26"/>
              </w:rPr>
              <w:t>2016 год</w:t>
            </w:r>
          </w:p>
        </w:tc>
      </w:tr>
      <w:tr w:rsidR="001A2EDC" w:rsidRPr="00ED027A" w:rsidTr="00552CDF">
        <w:tc>
          <w:tcPr>
            <w:tcW w:w="3369" w:type="dxa"/>
          </w:tcPr>
          <w:p w:rsidR="001A2EDC" w:rsidRPr="00ED027A" w:rsidRDefault="001A2EDC" w:rsidP="00552CDF">
            <w:pPr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1. Нет</w:t>
            </w:r>
          </w:p>
        </w:tc>
        <w:tc>
          <w:tcPr>
            <w:tcW w:w="1275" w:type="dxa"/>
          </w:tcPr>
          <w:p w:rsidR="001A2EDC" w:rsidRPr="00ED027A" w:rsidRDefault="001A2EDC" w:rsidP="00552CDF">
            <w:pPr>
              <w:jc w:val="center"/>
              <w:rPr>
                <w:color w:val="000000"/>
                <w:sz w:val="26"/>
                <w:szCs w:val="26"/>
              </w:rPr>
            </w:pPr>
            <w:r w:rsidRPr="00ED027A">
              <w:rPr>
                <w:color w:val="000000"/>
                <w:sz w:val="26"/>
                <w:szCs w:val="26"/>
              </w:rPr>
              <w:t>19,2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13,2</w:t>
            </w:r>
          </w:p>
        </w:tc>
        <w:tc>
          <w:tcPr>
            <w:tcW w:w="1275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21,7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23,4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23,9</w:t>
            </w:r>
          </w:p>
        </w:tc>
      </w:tr>
      <w:tr w:rsidR="001A2EDC" w:rsidRPr="00ED027A" w:rsidTr="00552CDF">
        <w:tc>
          <w:tcPr>
            <w:tcW w:w="3369" w:type="dxa"/>
          </w:tcPr>
          <w:p w:rsidR="001A2EDC" w:rsidRPr="00ED027A" w:rsidRDefault="001A2EDC" w:rsidP="00552CDF">
            <w:pPr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2. Скорее всего, нет</w:t>
            </w:r>
          </w:p>
        </w:tc>
        <w:tc>
          <w:tcPr>
            <w:tcW w:w="1275" w:type="dxa"/>
          </w:tcPr>
          <w:p w:rsidR="001A2EDC" w:rsidRPr="00ED027A" w:rsidRDefault="001A2EDC" w:rsidP="00552CDF">
            <w:pPr>
              <w:jc w:val="center"/>
              <w:rPr>
                <w:color w:val="000000"/>
                <w:sz w:val="26"/>
                <w:szCs w:val="26"/>
              </w:rPr>
            </w:pPr>
            <w:r w:rsidRPr="00ED027A">
              <w:rPr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33,4</w:t>
            </w:r>
          </w:p>
        </w:tc>
        <w:tc>
          <w:tcPr>
            <w:tcW w:w="1275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39,4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40,2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38,3</w:t>
            </w:r>
          </w:p>
        </w:tc>
      </w:tr>
      <w:tr w:rsidR="001A2EDC" w:rsidRPr="00ED027A" w:rsidTr="00552CDF">
        <w:tc>
          <w:tcPr>
            <w:tcW w:w="3369" w:type="dxa"/>
          </w:tcPr>
          <w:p w:rsidR="001A2EDC" w:rsidRPr="00ED027A" w:rsidRDefault="001A2EDC" w:rsidP="00552CDF">
            <w:pPr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3. Могут</w:t>
            </w:r>
          </w:p>
        </w:tc>
        <w:tc>
          <w:tcPr>
            <w:tcW w:w="1275" w:type="dxa"/>
          </w:tcPr>
          <w:p w:rsidR="001A2EDC" w:rsidRPr="00ED027A" w:rsidRDefault="001A2EDC" w:rsidP="00552CDF">
            <w:pPr>
              <w:jc w:val="center"/>
              <w:rPr>
                <w:color w:val="000000"/>
                <w:sz w:val="26"/>
                <w:szCs w:val="26"/>
              </w:rPr>
            </w:pPr>
            <w:r w:rsidRPr="00ED027A">
              <w:rPr>
                <w:color w:val="000000"/>
                <w:sz w:val="26"/>
                <w:szCs w:val="26"/>
              </w:rPr>
              <w:t>31,5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36,6</w:t>
            </w:r>
          </w:p>
        </w:tc>
        <w:tc>
          <w:tcPr>
            <w:tcW w:w="1275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26,8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25,0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23,8</w:t>
            </w:r>
          </w:p>
        </w:tc>
      </w:tr>
      <w:tr w:rsidR="001A2EDC" w:rsidRPr="00ED027A" w:rsidTr="00552CDF">
        <w:tc>
          <w:tcPr>
            <w:tcW w:w="3369" w:type="dxa"/>
          </w:tcPr>
          <w:p w:rsidR="001A2EDC" w:rsidRPr="00ED027A" w:rsidRDefault="001A2EDC" w:rsidP="00552CDF">
            <w:pPr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4. Они уже сейчас происходят</w:t>
            </w:r>
          </w:p>
        </w:tc>
        <w:tc>
          <w:tcPr>
            <w:tcW w:w="1275" w:type="dxa"/>
          </w:tcPr>
          <w:p w:rsidR="001A2EDC" w:rsidRPr="00ED027A" w:rsidRDefault="001A2EDC" w:rsidP="00552CDF">
            <w:pPr>
              <w:jc w:val="center"/>
              <w:rPr>
                <w:color w:val="000000"/>
                <w:sz w:val="26"/>
                <w:szCs w:val="26"/>
              </w:rPr>
            </w:pPr>
            <w:r w:rsidRPr="00ED027A"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4,6</w:t>
            </w:r>
          </w:p>
        </w:tc>
        <w:tc>
          <w:tcPr>
            <w:tcW w:w="1275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2,0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1,5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3,0</w:t>
            </w:r>
          </w:p>
        </w:tc>
      </w:tr>
      <w:tr w:rsidR="001A2EDC" w:rsidRPr="00ED027A" w:rsidTr="00552CDF">
        <w:tc>
          <w:tcPr>
            <w:tcW w:w="3369" w:type="dxa"/>
          </w:tcPr>
          <w:p w:rsidR="001A2EDC" w:rsidRPr="00ED027A" w:rsidRDefault="001A2EDC" w:rsidP="00552CDF">
            <w:pPr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5. Затрудняюсь ответить</w:t>
            </w:r>
          </w:p>
        </w:tc>
        <w:tc>
          <w:tcPr>
            <w:tcW w:w="1275" w:type="dxa"/>
          </w:tcPr>
          <w:p w:rsidR="001A2EDC" w:rsidRPr="00ED027A" w:rsidRDefault="001A2EDC" w:rsidP="00552CDF">
            <w:pPr>
              <w:jc w:val="center"/>
              <w:rPr>
                <w:color w:val="000000"/>
                <w:sz w:val="26"/>
                <w:szCs w:val="26"/>
              </w:rPr>
            </w:pPr>
            <w:r w:rsidRPr="00ED027A">
              <w:rPr>
                <w:color w:val="000000"/>
                <w:sz w:val="26"/>
                <w:szCs w:val="26"/>
              </w:rPr>
              <w:t>6,3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12,2</w:t>
            </w:r>
          </w:p>
        </w:tc>
        <w:tc>
          <w:tcPr>
            <w:tcW w:w="1275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10,1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9,9</w:t>
            </w:r>
          </w:p>
        </w:tc>
        <w:tc>
          <w:tcPr>
            <w:tcW w:w="1276" w:type="dxa"/>
          </w:tcPr>
          <w:p w:rsidR="001A2EDC" w:rsidRPr="00ED027A" w:rsidRDefault="001A2EDC" w:rsidP="00552CDF">
            <w:pPr>
              <w:jc w:val="center"/>
              <w:rPr>
                <w:sz w:val="26"/>
                <w:szCs w:val="26"/>
              </w:rPr>
            </w:pPr>
            <w:r w:rsidRPr="00ED027A">
              <w:rPr>
                <w:sz w:val="26"/>
                <w:szCs w:val="26"/>
              </w:rPr>
              <w:t>11,0</w:t>
            </w:r>
          </w:p>
        </w:tc>
      </w:tr>
    </w:tbl>
    <w:p w:rsidR="001A2EDC" w:rsidRPr="00ED027A" w:rsidRDefault="001A2EDC" w:rsidP="001A2EDC">
      <w:pPr>
        <w:pStyle w:val="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1A2EDC" w:rsidRDefault="001A2EDC" w:rsidP="001A2EDC">
      <w:pPr>
        <w:shd w:val="clear" w:color="auto" w:fill="FFFFFF"/>
        <w:ind w:firstLine="539"/>
        <w:jc w:val="both"/>
        <w:rPr>
          <w:color w:val="000000"/>
          <w:sz w:val="26"/>
          <w:szCs w:val="26"/>
          <w:shd w:val="clear" w:color="auto" w:fill="FFFFFF"/>
        </w:rPr>
      </w:pPr>
      <w:r w:rsidRPr="001A2EDC">
        <w:rPr>
          <w:b/>
          <w:color w:val="000000"/>
          <w:sz w:val="26"/>
          <w:szCs w:val="26"/>
          <w:shd w:val="clear" w:color="auto" w:fill="FFFFFF"/>
        </w:rPr>
        <w:t>Уровень толерантности (гетерооценка)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составил 89,3 % при плановом показателе 92 %. Отмечено снижение данного показателя </w:t>
      </w:r>
      <w:r w:rsidR="004554E7">
        <w:rPr>
          <w:color w:val="000000"/>
          <w:sz w:val="26"/>
          <w:szCs w:val="26"/>
          <w:shd w:val="clear" w:color="auto" w:fill="FFFFFF"/>
        </w:rPr>
        <w:t>на 2,7 п.п., которое связано со с</w:t>
      </w:r>
      <w:r w:rsidR="004554E7" w:rsidRPr="004554E7">
        <w:rPr>
          <w:color w:val="000000"/>
          <w:sz w:val="26"/>
          <w:szCs w:val="26"/>
          <w:shd w:val="clear" w:color="auto" w:fill="FFFFFF"/>
        </w:rPr>
        <w:t>татистическ</w:t>
      </w:r>
      <w:r w:rsidR="004554E7">
        <w:rPr>
          <w:color w:val="000000"/>
          <w:sz w:val="26"/>
          <w:szCs w:val="26"/>
          <w:shd w:val="clear" w:color="auto" w:fill="FFFFFF"/>
        </w:rPr>
        <w:t>ой</w:t>
      </w:r>
      <w:r w:rsidR="004554E7" w:rsidRPr="004554E7">
        <w:rPr>
          <w:color w:val="000000"/>
          <w:sz w:val="26"/>
          <w:szCs w:val="26"/>
          <w:shd w:val="clear" w:color="auto" w:fill="FFFFFF"/>
        </w:rPr>
        <w:t xml:space="preserve"> погрешность</w:t>
      </w:r>
      <w:r w:rsidR="004554E7">
        <w:rPr>
          <w:color w:val="000000"/>
          <w:sz w:val="26"/>
          <w:szCs w:val="26"/>
          <w:shd w:val="clear" w:color="auto" w:fill="FFFFFF"/>
        </w:rPr>
        <w:t>ю</w:t>
      </w:r>
      <w:r w:rsidR="004554E7" w:rsidRPr="004554E7">
        <w:rPr>
          <w:color w:val="000000"/>
          <w:sz w:val="26"/>
          <w:szCs w:val="26"/>
          <w:shd w:val="clear" w:color="auto" w:fill="FFFFFF"/>
        </w:rPr>
        <w:t>, установленн</w:t>
      </w:r>
      <w:r w:rsidR="004554E7">
        <w:rPr>
          <w:color w:val="000000"/>
          <w:sz w:val="26"/>
          <w:szCs w:val="26"/>
          <w:shd w:val="clear" w:color="auto" w:fill="FFFFFF"/>
        </w:rPr>
        <w:t>ой</w:t>
      </w:r>
      <w:r w:rsidR="004554E7" w:rsidRPr="004554E7">
        <w:rPr>
          <w:color w:val="000000"/>
          <w:sz w:val="26"/>
          <w:szCs w:val="26"/>
          <w:shd w:val="clear" w:color="auto" w:fill="FFFFFF"/>
        </w:rPr>
        <w:t xml:space="preserve"> в ходе проведения социологического исследования, </w:t>
      </w:r>
      <w:r w:rsidR="004554E7">
        <w:rPr>
          <w:color w:val="000000"/>
          <w:sz w:val="26"/>
          <w:szCs w:val="26"/>
          <w:shd w:val="clear" w:color="auto" w:fill="FFFFFF"/>
        </w:rPr>
        <w:t xml:space="preserve">и которая </w:t>
      </w:r>
      <w:r w:rsidR="004554E7" w:rsidRPr="004554E7">
        <w:rPr>
          <w:color w:val="000000"/>
          <w:sz w:val="26"/>
          <w:szCs w:val="26"/>
          <w:shd w:val="clear" w:color="auto" w:fill="FFFFFF"/>
        </w:rPr>
        <w:t>составляет 2,5-3 %</w:t>
      </w:r>
      <w:r w:rsidR="004554E7">
        <w:rPr>
          <w:color w:val="000000"/>
          <w:sz w:val="26"/>
          <w:szCs w:val="26"/>
          <w:shd w:val="clear" w:color="auto" w:fill="FFFFFF"/>
        </w:rPr>
        <w:t xml:space="preserve">, а также со </w:t>
      </w:r>
      <w:r w:rsidR="004554E7" w:rsidRPr="00ED027A">
        <w:rPr>
          <w:color w:val="000000"/>
          <w:sz w:val="26"/>
          <w:szCs w:val="26"/>
          <w:shd w:val="clear" w:color="auto" w:fill="FFFFFF"/>
        </w:rPr>
        <w:t>сложност</w:t>
      </w:r>
      <w:r w:rsidR="004554E7">
        <w:rPr>
          <w:color w:val="000000"/>
          <w:sz w:val="26"/>
          <w:szCs w:val="26"/>
          <w:shd w:val="clear" w:color="auto" w:fill="FFFFFF"/>
        </w:rPr>
        <w:t>ями</w:t>
      </w:r>
      <w:r w:rsidR="004554E7" w:rsidRPr="00ED027A">
        <w:rPr>
          <w:color w:val="000000"/>
          <w:sz w:val="26"/>
          <w:szCs w:val="26"/>
          <w:shd w:val="clear" w:color="auto" w:fill="FFFFFF"/>
        </w:rPr>
        <w:t>, которые переживает сегодня российская экономика, – чем ниже уровень материального благосостояния респондента, тем выше уровень тревожности, недоверия и нетерпимости.</w:t>
      </w:r>
    </w:p>
    <w:p w:rsidR="001A2EDC" w:rsidRDefault="001A2EDC" w:rsidP="001A2EDC">
      <w:pPr>
        <w:shd w:val="clear" w:color="auto" w:fill="FFFFFF"/>
        <w:ind w:firstLine="539"/>
        <w:jc w:val="both"/>
        <w:rPr>
          <w:color w:val="000000"/>
          <w:sz w:val="26"/>
          <w:szCs w:val="26"/>
          <w:shd w:val="clear" w:color="auto" w:fill="FFFFFF"/>
        </w:rPr>
      </w:pPr>
      <w:r w:rsidRPr="00ED027A">
        <w:rPr>
          <w:color w:val="000000"/>
          <w:sz w:val="26"/>
          <w:szCs w:val="26"/>
          <w:shd w:val="clear" w:color="auto" w:fill="FFFFFF"/>
        </w:rPr>
        <w:t>Как показал опрос, среди безработных ур</w:t>
      </w:r>
      <w:bookmarkStart w:id="0" w:name="_GoBack"/>
      <w:bookmarkEnd w:id="0"/>
      <w:r w:rsidRPr="00ED027A">
        <w:rPr>
          <w:color w:val="000000"/>
          <w:sz w:val="26"/>
          <w:szCs w:val="26"/>
          <w:shd w:val="clear" w:color="auto" w:fill="FFFFFF"/>
        </w:rPr>
        <w:t>овень нетерпимости превышает общий республиканский показатель более чем в 2 раза и составляет 30,8%, а среди граждан, которым по их самоощущениям не хватает даже на самое необходимое, ситуация сходна – неприязнь к людям иной национальности составляет 27,9%.</w:t>
      </w:r>
    </w:p>
    <w:p w:rsidR="004554E7" w:rsidRPr="004554E7" w:rsidRDefault="004554E7" w:rsidP="004554E7">
      <w:pPr>
        <w:shd w:val="clear" w:color="auto" w:fill="FFFFFF"/>
        <w:ind w:firstLine="539"/>
        <w:jc w:val="both"/>
        <w:rPr>
          <w:color w:val="000000"/>
          <w:sz w:val="26"/>
          <w:szCs w:val="26"/>
          <w:shd w:val="clear" w:color="auto" w:fill="FFFFFF"/>
        </w:rPr>
      </w:pPr>
      <w:r w:rsidRPr="004554E7">
        <w:rPr>
          <w:b/>
          <w:color w:val="000000"/>
          <w:sz w:val="26"/>
          <w:szCs w:val="26"/>
          <w:shd w:val="clear" w:color="auto" w:fill="FFFFFF"/>
        </w:rPr>
        <w:t>Уровень толерантного отношения к представителям другой национальности (</w:t>
      </w:r>
      <w:proofErr w:type="spellStart"/>
      <w:r w:rsidRPr="004554E7">
        <w:rPr>
          <w:b/>
          <w:color w:val="000000"/>
          <w:sz w:val="26"/>
          <w:szCs w:val="26"/>
          <w:shd w:val="clear" w:color="auto" w:fill="FFFFFF"/>
        </w:rPr>
        <w:t>автооценка</w:t>
      </w:r>
      <w:proofErr w:type="spellEnd"/>
      <w:r w:rsidRPr="004554E7">
        <w:rPr>
          <w:b/>
          <w:color w:val="000000"/>
          <w:sz w:val="26"/>
          <w:szCs w:val="26"/>
          <w:shd w:val="clear" w:color="auto" w:fill="FFFFFF"/>
        </w:rPr>
        <w:t>)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повысился на 5,5 п.п. и достиг </w:t>
      </w:r>
      <w:r w:rsidRPr="001377ED">
        <w:rPr>
          <w:b/>
          <w:color w:val="000000"/>
          <w:sz w:val="26"/>
          <w:szCs w:val="26"/>
          <w:shd w:val="clear" w:color="auto" w:fill="FFFFFF"/>
        </w:rPr>
        <w:t>86 %</w:t>
      </w:r>
      <w:r>
        <w:rPr>
          <w:color w:val="000000"/>
          <w:sz w:val="26"/>
          <w:szCs w:val="26"/>
          <w:shd w:val="clear" w:color="auto" w:fill="FFFFFF"/>
        </w:rPr>
        <w:t xml:space="preserve"> одобрения со стороны респондентов (плановое значение – 80,5 %). Этот рост можно связать с тем, что в</w:t>
      </w:r>
      <w:r w:rsidRPr="004554E7">
        <w:rPr>
          <w:color w:val="000000"/>
          <w:sz w:val="26"/>
          <w:szCs w:val="26"/>
          <w:shd w:val="clear" w:color="auto" w:fill="FFFFFF"/>
        </w:rPr>
        <w:t xml:space="preserve"> 2016 году отмечен рост уверенности жителей Удмуртии в стабильности межэтнических отношений в стране в целом, и в Удмуртии в частности, снижение чувства настороженности к представителям новых этнических диаспор.</w:t>
      </w:r>
    </w:p>
    <w:p w:rsidR="008B4399" w:rsidRDefault="001A2EDC" w:rsidP="001A2EDC">
      <w:pPr>
        <w:shd w:val="clear" w:color="auto" w:fill="FFFFFF"/>
        <w:ind w:firstLine="539"/>
        <w:jc w:val="both"/>
        <w:rPr>
          <w:color w:val="000000"/>
          <w:sz w:val="26"/>
          <w:szCs w:val="26"/>
          <w:shd w:val="clear" w:color="auto" w:fill="FFFFFF"/>
        </w:rPr>
      </w:pPr>
      <w:r w:rsidRPr="008B4399">
        <w:rPr>
          <w:b/>
          <w:color w:val="000000"/>
          <w:sz w:val="26"/>
          <w:szCs w:val="26"/>
          <w:shd w:val="clear" w:color="auto" w:fill="FFFFFF"/>
        </w:rPr>
        <w:t>Численность населения, принявшая участие проектов и мероприятий, реализуемых в рамках государственной программы</w:t>
      </w:r>
      <w:r>
        <w:rPr>
          <w:color w:val="000000"/>
          <w:sz w:val="26"/>
          <w:szCs w:val="26"/>
          <w:shd w:val="clear" w:color="auto" w:fill="FFFFFF"/>
        </w:rPr>
        <w:t xml:space="preserve"> «Этносоциальное развитие и гармонизация межэтнических отношений» составила </w:t>
      </w:r>
      <w:r w:rsidRPr="001377ED">
        <w:rPr>
          <w:b/>
          <w:color w:val="000000"/>
          <w:sz w:val="26"/>
          <w:szCs w:val="26"/>
          <w:shd w:val="clear" w:color="auto" w:fill="FFFFFF"/>
        </w:rPr>
        <w:t>645 тысяч человек</w:t>
      </w:r>
      <w:r>
        <w:rPr>
          <w:color w:val="000000"/>
          <w:sz w:val="26"/>
          <w:szCs w:val="26"/>
          <w:shd w:val="clear" w:color="auto" w:fill="FFFFFF"/>
        </w:rPr>
        <w:t>.</w:t>
      </w:r>
      <w:r w:rsidR="004554E7">
        <w:rPr>
          <w:color w:val="000000"/>
          <w:sz w:val="26"/>
          <w:szCs w:val="26"/>
          <w:shd w:val="clear" w:color="auto" w:fill="FFFFFF"/>
        </w:rPr>
        <w:t xml:space="preserve"> Среди самых крупных мероприятий стоит отметить: </w:t>
      </w:r>
    </w:p>
    <w:p w:rsidR="008B4399" w:rsidRDefault="008B4399" w:rsidP="001A2EDC">
      <w:pPr>
        <w:shd w:val="clear" w:color="auto" w:fill="FFFFFF"/>
        <w:ind w:firstLine="53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 г</w:t>
      </w:r>
      <w:r w:rsidR="004554E7">
        <w:rPr>
          <w:color w:val="000000"/>
          <w:sz w:val="26"/>
          <w:szCs w:val="26"/>
          <w:shd w:val="clear" w:color="auto" w:fill="FFFFFF"/>
        </w:rPr>
        <w:t>астрономический фестиваль «Всемирный день пельменя»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8B4399" w:rsidRDefault="008B4399" w:rsidP="001A2EDC">
      <w:pPr>
        <w:shd w:val="clear" w:color="auto" w:fill="FFFFFF"/>
        <w:ind w:firstLine="53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 в</w:t>
      </w:r>
      <w:r w:rsidRPr="008B4399">
        <w:rPr>
          <w:color w:val="000000"/>
          <w:sz w:val="26"/>
          <w:szCs w:val="26"/>
          <w:shd w:val="clear" w:color="auto" w:fill="FFFFFF"/>
        </w:rPr>
        <w:t>сероссийская культурно-просветительская акция «Большой этнографический диктант»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8B4399" w:rsidRDefault="008B4399" w:rsidP="001A2EDC">
      <w:pPr>
        <w:shd w:val="clear" w:color="auto" w:fill="FFFFFF"/>
        <w:ind w:firstLine="53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 </w:t>
      </w:r>
      <w:r w:rsidRPr="008B4399">
        <w:rPr>
          <w:color w:val="000000"/>
          <w:sz w:val="26"/>
          <w:szCs w:val="26"/>
          <w:shd w:val="clear" w:color="auto" w:fill="FFFFFF"/>
        </w:rPr>
        <w:t>конкурс социальных проектов «Народов много - страна одна!»</w:t>
      </w:r>
      <w:r>
        <w:rPr>
          <w:color w:val="000000"/>
          <w:sz w:val="26"/>
          <w:szCs w:val="26"/>
          <w:shd w:val="clear" w:color="auto" w:fill="FFFFFF"/>
        </w:rPr>
        <w:t xml:space="preserve"> среди профессиональных образовательных организаций;</w:t>
      </w:r>
    </w:p>
    <w:p w:rsidR="008B4399" w:rsidRDefault="008B4399" w:rsidP="001A2EDC">
      <w:pPr>
        <w:shd w:val="clear" w:color="auto" w:fill="FFFFFF"/>
        <w:ind w:firstLine="53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 </w:t>
      </w:r>
      <w:r w:rsidRPr="008B4399">
        <w:rPr>
          <w:color w:val="000000"/>
          <w:sz w:val="26"/>
          <w:szCs w:val="26"/>
          <w:shd w:val="clear" w:color="auto" w:fill="FFFFFF"/>
        </w:rPr>
        <w:t>конкурсное распределение субсидий среди муниципальных образований в Удмуртской Республике на реализацию социально значимых проектов, направленных на развитие межэтнической толерантности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1A2EDC" w:rsidRDefault="008B4399" w:rsidP="001A2EDC">
      <w:pPr>
        <w:shd w:val="clear" w:color="auto" w:fill="FFFFFF"/>
        <w:ind w:firstLine="53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 </w:t>
      </w:r>
      <w:r w:rsidRPr="008B4399">
        <w:rPr>
          <w:color w:val="000000"/>
          <w:sz w:val="26"/>
          <w:szCs w:val="26"/>
          <w:shd w:val="clear" w:color="auto" w:fill="FFFFFF"/>
        </w:rPr>
        <w:t>первая Межрегиональная учебная сессия для активистов молодежных национальных общественных организаций Российской Федерации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8B4399" w:rsidRDefault="008B4399" w:rsidP="001A2EDC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 </w:t>
      </w:r>
      <w:r>
        <w:rPr>
          <w:sz w:val="26"/>
          <w:szCs w:val="26"/>
        </w:rPr>
        <w:t>всероссийский молодёжный форум коренных малочисленных народов Российской Федерации;</w:t>
      </w:r>
    </w:p>
    <w:p w:rsidR="008B4399" w:rsidRDefault="008B4399" w:rsidP="001A2EDC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 </w:t>
      </w:r>
      <w:r w:rsidRPr="008B4399">
        <w:rPr>
          <w:sz w:val="26"/>
          <w:szCs w:val="26"/>
        </w:rPr>
        <w:t>традиционные республиканские этнокультурные праздники - Масленица, Семык, Навруз, Гербер, Сабантуй, Вардавар.</w:t>
      </w:r>
    </w:p>
    <w:p w:rsidR="008B4399" w:rsidRDefault="008B4399" w:rsidP="001A2EDC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Всего было проведено свыше 200 мероприятий республиканского и всероссийского уровня.</w:t>
      </w:r>
    </w:p>
    <w:p w:rsidR="008B4399" w:rsidRDefault="008B4399" w:rsidP="001A2EDC">
      <w:pPr>
        <w:shd w:val="clear" w:color="auto" w:fill="FFFFFF"/>
        <w:ind w:firstLine="539"/>
        <w:jc w:val="both"/>
        <w:rPr>
          <w:color w:val="000000"/>
          <w:sz w:val="26"/>
          <w:szCs w:val="26"/>
          <w:shd w:val="clear" w:color="auto" w:fill="FFFFFF"/>
        </w:rPr>
      </w:pPr>
      <w:r w:rsidRPr="008B4399">
        <w:rPr>
          <w:b/>
          <w:color w:val="000000"/>
          <w:sz w:val="26"/>
          <w:szCs w:val="26"/>
          <w:shd w:val="clear" w:color="auto" w:fill="FFFFFF"/>
        </w:rPr>
        <w:t>Доля государственных гражданских и муниципальных служащих, прошедших курсы повышения квалификации по вопросам национальных отношений и миграционной политике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составила </w:t>
      </w:r>
      <w:r w:rsidRPr="00413968">
        <w:rPr>
          <w:b/>
          <w:color w:val="000000"/>
          <w:sz w:val="26"/>
          <w:szCs w:val="26"/>
          <w:shd w:val="clear" w:color="auto" w:fill="FFFFFF"/>
        </w:rPr>
        <w:t>26,8</w:t>
      </w:r>
      <w:r w:rsidR="009A00DE">
        <w:rPr>
          <w:b/>
          <w:color w:val="000000"/>
          <w:sz w:val="26"/>
          <w:szCs w:val="26"/>
          <w:shd w:val="clear" w:color="auto" w:fill="FFFFFF"/>
        </w:rPr>
        <w:t>7</w:t>
      </w:r>
      <w:r w:rsidRPr="00413968">
        <w:rPr>
          <w:b/>
          <w:color w:val="000000"/>
          <w:sz w:val="26"/>
          <w:szCs w:val="26"/>
          <w:shd w:val="clear" w:color="auto" w:fill="FFFFFF"/>
        </w:rPr>
        <w:t xml:space="preserve"> %</w:t>
      </w:r>
      <w:r>
        <w:rPr>
          <w:color w:val="000000"/>
          <w:sz w:val="26"/>
          <w:szCs w:val="26"/>
          <w:shd w:val="clear" w:color="auto" w:fill="FFFFFF"/>
        </w:rPr>
        <w:t xml:space="preserve"> (план – 26,3 %) от общего количества государственных и муниципальных гражданских служащих, действующих на территории Удмуртской Республики.</w:t>
      </w:r>
      <w:r w:rsidRPr="008B4399">
        <w:rPr>
          <w:color w:val="000000"/>
          <w:sz w:val="26"/>
          <w:szCs w:val="26"/>
          <w:shd w:val="clear" w:color="auto" w:fill="FFFFFF"/>
        </w:rPr>
        <w:t xml:space="preserve"> По заказу Миннаца УР Ижевским филиалом ФГБОУ ВПО «Российская академия народного хозяйства и государственной службы при Президенте Р</w:t>
      </w:r>
      <w:r>
        <w:rPr>
          <w:color w:val="000000"/>
          <w:sz w:val="26"/>
          <w:szCs w:val="26"/>
          <w:shd w:val="clear" w:color="auto" w:fill="FFFFFF"/>
        </w:rPr>
        <w:t xml:space="preserve">оссийской Федерации» в 2016 г. </w:t>
      </w:r>
      <w:r w:rsidRPr="008B4399">
        <w:rPr>
          <w:color w:val="000000"/>
          <w:sz w:val="26"/>
          <w:szCs w:val="26"/>
          <w:shd w:val="clear" w:color="auto" w:fill="FFFFFF"/>
        </w:rPr>
        <w:t>проведена серия выездных обучающих семинаров «Проблемы профилактики экстремизма и ксенофобии на национальной и религиозной почве» для муниципальных служащих, руководителей учреждений и организаций образования, культуры, молодёжной политики и спорта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62295A" w:rsidRDefault="0062295A" w:rsidP="0062295A">
      <w:pPr>
        <w:ind w:firstLine="567"/>
        <w:jc w:val="both"/>
        <w:rPr>
          <w:sz w:val="26"/>
          <w:szCs w:val="26"/>
        </w:rPr>
      </w:pPr>
      <w:r w:rsidRPr="00672F98">
        <w:rPr>
          <w:sz w:val="26"/>
          <w:szCs w:val="26"/>
        </w:rPr>
        <w:t>Одним из приоритетных направлений в этноязыковой политике Удмуртской Республики является обеспечение возможности изучать миноритарные языки всеми желающими вне зависимости от возраста и национальности.</w:t>
      </w:r>
    </w:p>
    <w:p w:rsidR="0062295A" w:rsidRPr="0062295A" w:rsidRDefault="0062295A" w:rsidP="0062295A">
      <w:pPr>
        <w:ind w:firstLine="567"/>
        <w:jc w:val="both"/>
        <w:rPr>
          <w:b/>
          <w:sz w:val="26"/>
          <w:szCs w:val="26"/>
        </w:rPr>
      </w:pPr>
      <w:r w:rsidRPr="0062295A">
        <w:rPr>
          <w:b/>
          <w:sz w:val="26"/>
          <w:szCs w:val="26"/>
        </w:rPr>
        <w:t>Количество воскресных школ и курсов изучения родного языка</w:t>
      </w:r>
      <w:r>
        <w:rPr>
          <w:b/>
          <w:sz w:val="26"/>
          <w:szCs w:val="26"/>
        </w:rPr>
        <w:t xml:space="preserve"> </w:t>
      </w:r>
      <w:r w:rsidRPr="0062295A">
        <w:rPr>
          <w:sz w:val="26"/>
          <w:szCs w:val="26"/>
        </w:rPr>
        <w:t xml:space="preserve">составило </w:t>
      </w:r>
      <w:r w:rsidRPr="00413968">
        <w:rPr>
          <w:b/>
          <w:sz w:val="26"/>
          <w:szCs w:val="26"/>
        </w:rPr>
        <w:t>43 ед.</w:t>
      </w:r>
      <w:r w:rsidRPr="0062295A">
        <w:rPr>
          <w:sz w:val="26"/>
          <w:szCs w:val="26"/>
        </w:rPr>
        <w:t xml:space="preserve"> (план – 12 ед.)</w:t>
      </w:r>
      <w:r>
        <w:rPr>
          <w:sz w:val="26"/>
          <w:szCs w:val="26"/>
        </w:rPr>
        <w:t>. Подобное р</w:t>
      </w:r>
      <w:r w:rsidRPr="0062295A">
        <w:rPr>
          <w:sz w:val="26"/>
          <w:szCs w:val="26"/>
        </w:rPr>
        <w:t xml:space="preserve">асхождение фактических данных с </w:t>
      </w:r>
      <w:proofErr w:type="gramStart"/>
      <w:r w:rsidRPr="0062295A">
        <w:rPr>
          <w:sz w:val="26"/>
          <w:szCs w:val="26"/>
        </w:rPr>
        <w:t>плановыми</w:t>
      </w:r>
      <w:proofErr w:type="gramEnd"/>
      <w:r w:rsidRPr="0062295A">
        <w:rPr>
          <w:sz w:val="26"/>
          <w:szCs w:val="26"/>
        </w:rPr>
        <w:t xml:space="preserve"> связан с ростом интереса жителей Удмуртской Республики к бесплатным курсам удмуртского языка, а также к воскресным школам по изучению азербайджанского, армянского, немецкого языков, иврита. Количество воскресных школ и курсов изучения родного языка было приведено в соответс</w:t>
      </w:r>
      <w:r>
        <w:rPr>
          <w:sz w:val="26"/>
          <w:szCs w:val="26"/>
        </w:rPr>
        <w:t>т</w:t>
      </w:r>
      <w:r w:rsidRPr="0062295A">
        <w:rPr>
          <w:sz w:val="26"/>
          <w:szCs w:val="26"/>
        </w:rPr>
        <w:t>вии со спросом</w:t>
      </w:r>
      <w:r>
        <w:rPr>
          <w:sz w:val="26"/>
          <w:szCs w:val="26"/>
        </w:rPr>
        <w:t>.</w:t>
      </w:r>
    </w:p>
    <w:p w:rsidR="0062295A" w:rsidRDefault="0062295A" w:rsidP="006229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Всего в</w:t>
      </w:r>
      <w:r w:rsidRPr="00672F98">
        <w:rPr>
          <w:sz w:val="26"/>
          <w:szCs w:val="26"/>
        </w:rPr>
        <w:t xml:space="preserve"> течение 2016 года на 35 площадках Удмуртской Республики были организованы бесплатные курсы удму</w:t>
      </w:r>
      <w:r>
        <w:rPr>
          <w:sz w:val="26"/>
          <w:szCs w:val="26"/>
        </w:rPr>
        <w:t xml:space="preserve">ртского языка для всех желающих. </w:t>
      </w:r>
      <w:r w:rsidRPr="00672F98">
        <w:rPr>
          <w:sz w:val="26"/>
          <w:szCs w:val="26"/>
        </w:rPr>
        <w:t>С сентября 2016 года также работали 4 группы по изучению татарского языка</w:t>
      </w:r>
      <w:r>
        <w:rPr>
          <w:sz w:val="26"/>
          <w:szCs w:val="26"/>
        </w:rPr>
        <w:t>.</w:t>
      </w:r>
      <w:r w:rsidRPr="00672F98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r w:rsidRPr="00672F98">
        <w:rPr>
          <w:sz w:val="26"/>
          <w:szCs w:val="26"/>
        </w:rPr>
        <w:t>существляли свою деятельность армянская, немецкая,</w:t>
      </w:r>
      <w:r>
        <w:rPr>
          <w:sz w:val="26"/>
          <w:szCs w:val="26"/>
        </w:rPr>
        <w:t xml:space="preserve"> </w:t>
      </w:r>
      <w:r w:rsidRPr="00672F98">
        <w:rPr>
          <w:sz w:val="26"/>
          <w:szCs w:val="26"/>
        </w:rPr>
        <w:t xml:space="preserve">азербайджанская и еврейская воскресные школы. </w:t>
      </w:r>
      <w:proofErr w:type="gramEnd"/>
    </w:p>
    <w:p w:rsidR="0062295A" w:rsidRDefault="0062295A" w:rsidP="0062295A">
      <w:pPr>
        <w:ind w:firstLine="567"/>
        <w:jc w:val="both"/>
        <w:rPr>
          <w:sz w:val="26"/>
          <w:szCs w:val="26"/>
        </w:rPr>
      </w:pPr>
      <w:r w:rsidRPr="00FA4E6F">
        <w:rPr>
          <w:sz w:val="26"/>
          <w:szCs w:val="26"/>
        </w:rPr>
        <w:t>В 2016 году продолжена работа по наполнению полнотекстовой электронной библиотеки «Удмуртская Книга» на официальном сайте Национальной библиотеки Удмуртской Республики: в 2016 году в цифровую форму переведено 92 издания</w:t>
      </w:r>
      <w:r>
        <w:rPr>
          <w:sz w:val="26"/>
          <w:szCs w:val="26"/>
        </w:rPr>
        <w:t xml:space="preserve">. </w:t>
      </w:r>
      <w:proofErr w:type="gramStart"/>
      <w:r w:rsidRPr="0062295A">
        <w:rPr>
          <w:b/>
          <w:sz w:val="26"/>
          <w:szCs w:val="26"/>
        </w:rPr>
        <w:t xml:space="preserve">Количество оцифрованных и размещенных в сети «Интернет» страниц полнотекстовой web-библиотеки на удмуртском языке </w:t>
      </w:r>
      <w:r>
        <w:rPr>
          <w:sz w:val="26"/>
          <w:szCs w:val="26"/>
        </w:rPr>
        <w:t xml:space="preserve">составило </w:t>
      </w:r>
      <w:r w:rsidRPr="00413968">
        <w:rPr>
          <w:b/>
          <w:sz w:val="26"/>
          <w:szCs w:val="26"/>
        </w:rPr>
        <w:t>10018 стр.</w:t>
      </w:r>
      <w:r>
        <w:rPr>
          <w:sz w:val="26"/>
          <w:szCs w:val="26"/>
        </w:rPr>
        <w:t xml:space="preserve"> (план – 10,0 тыс. стр.)</w:t>
      </w:r>
      <w:r w:rsidRPr="00FA4E6F">
        <w:rPr>
          <w:sz w:val="26"/>
          <w:szCs w:val="26"/>
        </w:rPr>
        <w:t xml:space="preserve"> научных, научно-популярных, учебных, справочных изданий по удмуртскому фольклору, языкознанию, литературоведению и искусству, этнической истории, археологии и этнологии удмуртов, а также литературно-художественных произведений н</w:t>
      </w:r>
      <w:r w:rsidR="001377ED">
        <w:rPr>
          <w:sz w:val="26"/>
          <w:szCs w:val="26"/>
        </w:rPr>
        <w:t>а удмуртском и русском языках).</w:t>
      </w:r>
      <w:proofErr w:type="gramEnd"/>
    </w:p>
    <w:p w:rsidR="00413968" w:rsidRDefault="00904321" w:rsidP="0062295A">
      <w:pPr>
        <w:ind w:firstLine="567"/>
        <w:jc w:val="both"/>
        <w:rPr>
          <w:sz w:val="26"/>
          <w:szCs w:val="26"/>
        </w:rPr>
      </w:pPr>
      <w:r w:rsidRPr="00904321">
        <w:rPr>
          <w:b/>
          <w:sz w:val="26"/>
          <w:szCs w:val="26"/>
        </w:rPr>
        <w:t>Доля документов, имеющих нарушения по регламентированным срокам исполнения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Министерстве национальной политики Удмуртской Республике составила </w:t>
      </w:r>
      <w:r w:rsidRPr="001377ED">
        <w:rPr>
          <w:b/>
          <w:sz w:val="26"/>
          <w:szCs w:val="26"/>
        </w:rPr>
        <w:t>1 %</w:t>
      </w:r>
      <w:r>
        <w:rPr>
          <w:sz w:val="26"/>
          <w:szCs w:val="26"/>
        </w:rPr>
        <w:t>, что соответствует плановым значениям.</w:t>
      </w:r>
    </w:p>
    <w:p w:rsidR="00904321" w:rsidRDefault="00904321" w:rsidP="006229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="001377ED" w:rsidRPr="001377ED">
        <w:rPr>
          <w:b/>
          <w:sz w:val="26"/>
          <w:szCs w:val="26"/>
        </w:rPr>
        <w:t>у</w:t>
      </w:r>
      <w:r w:rsidRPr="001377ED">
        <w:rPr>
          <w:b/>
          <w:sz w:val="26"/>
          <w:szCs w:val="26"/>
        </w:rPr>
        <w:t>ровень выполнения значений целевых показателей (индикаторов) государственной программы</w:t>
      </w:r>
      <w:r>
        <w:rPr>
          <w:sz w:val="26"/>
          <w:szCs w:val="26"/>
        </w:rPr>
        <w:t xml:space="preserve"> Удмуртской Республики «Этносоциальное развитие и гармонизация межэтнических отношений» составила по итогам 2016 года </w:t>
      </w:r>
      <w:r w:rsidRPr="001377ED">
        <w:rPr>
          <w:b/>
          <w:sz w:val="26"/>
          <w:szCs w:val="26"/>
        </w:rPr>
        <w:t>99,6 %,</w:t>
      </w:r>
      <w:r>
        <w:rPr>
          <w:sz w:val="26"/>
          <w:szCs w:val="26"/>
        </w:rPr>
        <w:t xml:space="preserve"> что на 4,6 п.п. выше запланированного.</w:t>
      </w:r>
    </w:p>
    <w:p w:rsidR="00904321" w:rsidRDefault="00904321" w:rsidP="0062295A">
      <w:pPr>
        <w:ind w:firstLine="567"/>
        <w:jc w:val="both"/>
        <w:rPr>
          <w:sz w:val="26"/>
          <w:szCs w:val="26"/>
        </w:rPr>
      </w:pPr>
    </w:p>
    <w:p w:rsidR="00904321" w:rsidRDefault="00904321" w:rsidP="0062295A">
      <w:pPr>
        <w:ind w:firstLine="567"/>
        <w:jc w:val="both"/>
        <w:rPr>
          <w:b/>
          <w:sz w:val="26"/>
          <w:szCs w:val="26"/>
        </w:rPr>
      </w:pPr>
      <w:r w:rsidRPr="00904321">
        <w:rPr>
          <w:b/>
          <w:sz w:val="26"/>
          <w:szCs w:val="26"/>
        </w:rPr>
        <w:lastRenderedPageBreak/>
        <w:t>Оценка эффективности реализации</w:t>
      </w:r>
      <w:r>
        <w:rPr>
          <w:b/>
          <w:sz w:val="26"/>
          <w:szCs w:val="26"/>
        </w:rPr>
        <w:t xml:space="preserve"> государственной программы Удмуртской Республики «Этносоциальное развитие и гармонизация межэтнических отношений»</w:t>
      </w:r>
    </w:p>
    <w:p w:rsidR="0062295A" w:rsidRDefault="00904321" w:rsidP="0062295A">
      <w:pPr>
        <w:ind w:firstLine="567"/>
        <w:jc w:val="both"/>
        <w:rPr>
          <w:sz w:val="26"/>
          <w:szCs w:val="26"/>
        </w:rPr>
      </w:pPr>
      <w:r w:rsidRPr="00904321">
        <w:rPr>
          <w:sz w:val="26"/>
          <w:szCs w:val="26"/>
        </w:rPr>
        <w:t>Степень достижения плановых значений целевых показателей (индикаторов) государс</w:t>
      </w:r>
      <w:r>
        <w:rPr>
          <w:sz w:val="26"/>
          <w:szCs w:val="26"/>
        </w:rPr>
        <w:t>твенной программы в целом составила 0,997.</w:t>
      </w:r>
    </w:p>
    <w:p w:rsidR="00904321" w:rsidRDefault="00904321" w:rsidP="0062295A">
      <w:pPr>
        <w:ind w:firstLine="567"/>
        <w:jc w:val="both"/>
        <w:rPr>
          <w:sz w:val="26"/>
          <w:szCs w:val="26"/>
        </w:rPr>
      </w:pPr>
      <w:r w:rsidRPr="00904321">
        <w:rPr>
          <w:sz w:val="26"/>
          <w:szCs w:val="26"/>
        </w:rPr>
        <w:t>В 2016 году было запланировано 10 совокупных мероприятий, предусматривающих достижение к</w:t>
      </w:r>
      <w:r>
        <w:rPr>
          <w:sz w:val="26"/>
          <w:szCs w:val="26"/>
        </w:rPr>
        <w:t>ачественного результата, из которых все 10 было исполнены.</w:t>
      </w:r>
    </w:p>
    <w:p w:rsidR="00904321" w:rsidRDefault="00904321" w:rsidP="0062295A">
      <w:pPr>
        <w:ind w:firstLine="567"/>
        <w:jc w:val="both"/>
        <w:rPr>
          <w:sz w:val="26"/>
          <w:szCs w:val="26"/>
        </w:rPr>
      </w:pPr>
      <w:r w:rsidRPr="00904321">
        <w:rPr>
          <w:sz w:val="26"/>
          <w:szCs w:val="26"/>
        </w:rPr>
        <w:t>Эффективность использования средств бюджета Удмуртской Республики при реализации государственной программы</w:t>
      </w:r>
      <w:r>
        <w:rPr>
          <w:sz w:val="26"/>
          <w:szCs w:val="26"/>
        </w:rPr>
        <w:t xml:space="preserve"> составила 0,977. </w:t>
      </w:r>
      <w:r w:rsidRPr="00904321">
        <w:rPr>
          <w:sz w:val="26"/>
          <w:szCs w:val="26"/>
        </w:rPr>
        <w:t xml:space="preserve">Согласно методике расчета, утвержденного Министерством экономики Удмуртской Республики, при показателе </w:t>
      </w:r>
      <w:proofErr w:type="gramStart"/>
      <w:r w:rsidRPr="00904321">
        <w:rPr>
          <w:sz w:val="26"/>
          <w:szCs w:val="26"/>
        </w:rPr>
        <w:t>эффективности использования средств бюджета Удмуртской Республики</w:t>
      </w:r>
      <w:proofErr w:type="gramEnd"/>
      <w:r w:rsidRPr="00904321">
        <w:rPr>
          <w:sz w:val="26"/>
          <w:szCs w:val="26"/>
        </w:rPr>
        <w:t xml:space="preserve"> при реализации государственной программы ниже 1,0, данный показатель принимается за 1,0. Таким образом, эффективность использования средств бюджета Удмуртской Республики при реализации государственной программы «Этносоциальное развитие и гар</w:t>
      </w:r>
      <w:r>
        <w:rPr>
          <w:sz w:val="26"/>
          <w:szCs w:val="26"/>
        </w:rPr>
        <w:t>м</w:t>
      </w:r>
      <w:r w:rsidRPr="00904321">
        <w:rPr>
          <w:sz w:val="26"/>
          <w:szCs w:val="26"/>
        </w:rPr>
        <w:t>онизация межэтнических отношений» равняется 1,0</w:t>
      </w:r>
      <w:r>
        <w:rPr>
          <w:sz w:val="26"/>
          <w:szCs w:val="26"/>
        </w:rPr>
        <w:t>.</w:t>
      </w:r>
    </w:p>
    <w:p w:rsidR="00904321" w:rsidRDefault="00904321" w:rsidP="006229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="001377ED">
        <w:rPr>
          <w:sz w:val="26"/>
          <w:szCs w:val="26"/>
        </w:rPr>
        <w:t>э</w:t>
      </w:r>
      <w:r w:rsidRPr="00904321">
        <w:rPr>
          <w:sz w:val="26"/>
          <w:szCs w:val="26"/>
        </w:rPr>
        <w:t>ффективность реализации государственной программы</w:t>
      </w:r>
      <w:r>
        <w:rPr>
          <w:sz w:val="26"/>
          <w:szCs w:val="26"/>
        </w:rPr>
        <w:t xml:space="preserve"> </w:t>
      </w:r>
      <w:r w:rsidR="00A81993">
        <w:rPr>
          <w:sz w:val="26"/>
          <w:szCs w:val="26"/>
        </w:rPr>
        <w:t>рассчитывается по формуле</w:t>
      </w:r>
    </w:p>
    <w:p w:rsidR="00A81993" w:rsidRPr="00672F98" w:rsidRDefault="00A81993" w:rsidP="0062295A">
      <w:pPr>
        <w:ind w:firstLine="567"/>
        <w:jc w:val="both"/>
        <w:rPr>
          <w:sz w:val="26"/>
          <w:szCs w:val="26"/>
        </w:rPr>
      </w:pPr>
    </w:p>
    <w:tbl>
      <w:tblPr>
        <w:tblW w:w="8154" w:type="dxa"/>
        <w:tblInd w:w="93" w:type="dxa"/>
        <w:tblLook w:val="04A0"/>
      </w:tblPr>
      <w:tblGrid>
        <w:gridCol w:w="1035"/>
        <w:gridCol w:w="1035"/>
        <w:gridCol w:w="1035"/>
        <w:gridCol w:w="1035"/>
        <w:gridCol w:w="1035"/>
        <w:gridCol w:w="2979"/>
      </w:tblGrid>
      <w:tr w:rsidR="00904321" w:rsidRPr="00904321" w:rsidTr="00904321">
        <w:trPr>
          <w:trHeight w:val="300"/>
        </w:trPr>
        <w:tc>
          <w:tcPr>
            <w:tcW w:w="5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21" w:rsidRPr="00904321" w:rsidRDefault="00904321" w:rsidP="00904321">
            <w:pPr>
              <w:rPr>
                <w:b/>
                <w:bCs/>
                <w:sz w:val="26"/>
                <w:szCs w:val="26"/>
              </w:rPr>
            </w:pPr>
            <w:r w:rsidRPr="00904321">
              <w:rPr>
                <w:b/>
                <w:bCs/>
                <w:sz w:val="26"/>
                <w:szCs w:val="26"/>
              </w:rPr>
              <w:t>ЭР г/</w:t>
            </w:r>
            <w:proofErr w:type="spellStart"/>
            <w:r w:rsidRPr="00904321">
              <w:rPr>
                <w:b/>
                <w:bCs/>
                <w:sz w:val="26"/>
                <w:szCs w:val="26"/>
              </w:rPr>
              <w:t>п</w:t>
            </w:r>
            <w:proofErr w:type="spellEnd"/>
            <w:r w:rsidRPr="00904321">
              <w:rPr>
                <w:b/>
                <w:bCs/>
                <w:sz w:val="26"/>
                <w:szCs w:val="26"/>
              </w:rPr>
              <w:t xml:space="preserve"> = СД г/</w:t>
            </w:r>
            <w:proofErr w:type="spellStart"/>
            <w:r w:rsidRPr="00904321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Start"/>
            <w:r w:rsidRPr="00904321">
              <w:rPr>
                <w:b/>
                <w:bCs/>
                <w:sz w:val="26"/>
                <w:szCs w:val="26"/>
              </w:rPr>
              <w:t>*Э</w:t>
            </w:r>
            <w:proofErr w:type="gramEnd"/>
            <w:r w:rsidRPr="009043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4321">
              <w:rPr>
                <w:b/>
                <w:bCs/>
                <w:sz w:val="26"/>
                <w:szCs w:val="26"/>
              </w:rPr>
              <w:t>ис</w:t>
            </w:r>
            <w:proofErr w:type="spellEnd"/>
            <w:r w:rsidRPr="00904321">
              <w:rPr>
                <w:sz w:val="26"/>
                <w:szCs w:val="26"/>
              </w:rPr>
              <w:t>, где: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21" w:rsidRPr="00904321" w:rsidRDefault="00904321" w:rsidP="00904321">
            <w:pPr>
              <w:rPr>
                <w:rFonts w:ascii="Calibri" w:hAnsi="Calibri"/>
              </w:rPr>
            </w:pPr>
          </w:p>
        </w:tc>
      </w:tr>
      <w:tr w:rsidR="00904321" w:rsidRPr="00904321" w:rsidTr="00904321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21" w:rsidRPr="00904321" w:rsidRDefault="00904321" w:rsidP="00904321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21" w:rsidRPr="00904321" w:rsidRDefault="00904321" w:rsidP="00904321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21" w:rsidRPr="00904321" w:rsidRDefault="00904321" w:rsidP="00904321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21" w:rsidRPr="00904321" w:rsidRDefault="00904321" w:rsidP="00904321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21" w:rsidRPr="00904321" w:rsidRDefault="00904321" w:rsidP="00904321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21" w:rsidRPr="00904321" w:rsidRDefault="00904321" w:rsidP="00904321">
            <w:pPr>
              <w:rPr>
                <w:rFonts w:ascii="Calibri" w:hAnsi="Calibri"/>
              </w:rPr>
            </w:pPr>
          </w:p>
        </w:tc>
      </w:tr>
      <w:tr w:rsidR="00904321" w:rsidRPr="00904321" w:rsidTr="00904321">
        <w:trPr>
          <w:trHeight w:val="300"/>
        </w:trPr>
        <w:tc>
          <w:tcPr>
            <w:tcW w:w="8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321" w:rsidRPr="00904321" w:rsidRDefault="00904321" w:rsidP="00904321">
            <w:pPr>
              <w:rPr>
                <w:sz w:val="26"/>
                <w:szCs w:val="26"/>
              </w:rPr>
            </w:pPr>
            <w:r w:rsidRPr="00904321">
              <w:rPr>
                <w:sz w:val="26"/>
                <w:szCs w:val="26"/>
              </w:rPr>
              <w:t>ЭР г/</w:t>
            </w:r>
            <w:proofErr w:type="spellStart"/>
            <w:proofErr w:type="gramStart"/>
            <w:r w:rsidRPr="0090432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04321">
              <w:rPr>
                <w:sz w:val="26"/>
                <w:szCs w:val="26"/>
              </w:rPr>
              <w:t xml:space="preserve"> – эффективность реализации государственной программы;</w:t>
            </w:r>
          </w:p>
        </w:tc>
      </w:tr>
      <w:tr w:rsidR="00904321" w:rsidRPr="00904321" w:rsidTr="00904321">
        <w:trPr>
          <w:trHeight w:val="300"/>
        </w:trPr>
        <w:tc>
          <w:tcPr>
            <w:tcW w:w="8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321" w:rsidRPr="00904321" w:rsidRDefault="00904321" w:rsidP="00904321">
            <w:pPr>
              <w:rPr>
                <w:sz w:val="26"/>
                <w:szCs w:val="26"/>
              </w:rPr>
            </w:pPr>
            <w:r w:rsidRPr="00904321">
              <w:rPr>
                <w:sz w:val="26"/>
                <w:szCs w:val="26"/>
              </w:rPr>
              <w:t>СД г/</w:t>
            </w:r>
            <w:proofErr w:type="spellStart"/>
            <w:proofErr w:type="gramStart"/>
            <w:r w:rsidRPr="0090432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04321">
              <w:rPr>
                <w:sz w:val="26"/>
                <w:szCs w:val="26"/>
              </w:rPr>
              <w:t xml:space="preserve"> – степень достижения плановых значений целевых показателей (индикаторов);</w:t>
            </w:r>
          </w:p>
        </w:tc>
      </w:tr>
      <w:tr w:rsidR="00904321" w:rsidRPr="00904321" w:rsidTr="00904321">
        <w:trPr>
          <w:trHeight w:val="300"/>
        </w:trPr>
        <w:tc>
          <w:tcPr>
            <w:tcW w:w="8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4321" w:rsidRPr="00904321" w:rsidRDefault="00904321" w:rsidP="00904321">
            <w:pPr>
              <w:rPr>
                <w:sz w:val="26"/>
                <w:szCs w:val="26"/>
              </w:rPr>
            </w:pPr>
            <w:r w:rsidRPr="00904321">
              <w:rPr>
                <w:sz w:val="26"/>
                <w:szCs w:val="26"/>
              </w:rPr>
              <w:t xml:space="preserve">Э </w:t>
            </w:r>
            <w:proofErr w:type="spellStart"/>
            <w:r w:rsidRPr="00904321">
              <w:rPr>
                <w:sz w:val="26"/>
                <w:szCs w:val="26"/>
              </w:rPr>
              <w:t>ис</w:t>
            </w:r>
            <w:proofErr w:type="spellEnd"/>
            <w:r w:rsidRPr="00904321">
              <w:rPr>
                <w:sz w:val="26"/>
                <w:szCs w:val="26"/>
              </w:rPr>
              <w:t xml:space="preserve"> – эффективность использования средств бюджета Удмуртской Республики</w:t>
            </w:r>
          </w:p>
        </w:tc>
      </w:tr>
      <w:tr w:rsidR="00904321" w:rsidRPr="00904321" w:rsidTr="00904321">
        <w:trPr>
          <w:trHeight w:val="465"/>
        </w:trPr>
        <w:tc>
          <w:tcPr>
            <w:tcW w:w="5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993" w:rsidRPr="00904321" w:rsidRDefault="00904321" w:rsidP="00A81993">
            <w:pPr>
              <w:rPr>
                <w:sz w:val="26"/>
                <w:szCs w:val="26"/>
              </w:rPr>
            </w:pPr>
            <w:r w:rsidRPr="00904321">
              <w:rPr>
                <w:sz w:val="26"/>
                <w:szCs w:val="26"/>
              </w:rPr>
              <w:t>ЭР г/</w:t>
            </w:r>
            <w:proofErr w:type="spellStart"/>
            <w:proofErr w:type="gramStart"/>
            <w:r w:rsidRPr="0090432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04321">
              <w:rPr>
                <w:sz w:val="26"/>
                <w:szCs w:val="26"/>
              </w:rPr>
              <w:t xml:space="preserve"> = 0,997*1,0= 0,997</w:t>
            </w:r>
            <w:r w:rsidR="00A81993">
              <w:rPr>
                <w:sz w:val="26"/>
                <w:szCs w:val="26"/>
              </w:rPr>
              <w:t>.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21" w:rsidRPr="00904321" w:rsidRDefault="00904321" w:rsidP="00904321">
            <w:pPr>
              <w:rPr>
                <w:rFonts w:ascii="Calibri" w:hAnsi="Calibri"/>
              </w:rPr>
            </w:pPr>
          </w:p>
        </w:tc>
      </w:tr>
    </w:tbl>
    <w:p w:rsidR="00904321" w:rsidRDefault="00904321" w:rsidP="0062295A">
      <w:pPr>
        <w:ind w:firstLine="567"/>
        <w:jc w:val="both"/>
        <w:rPr>
          <w:sz w:val="26"/>
          <w:szCs w:val="26"/>
        </w:rPr>
      </w:pPr>
    </w:p>
    <w:p w:rsidR="00A81993" w:rsidRDefault="00A81993" w:rsidP="0062295A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ИТОГ</w:t>
      </w:r>
    </w:p>
    <w:p w:rsidR="00A81993" w:rsidRPr="00A81993" w:rsidRDefault="00A81993" w:rsidP="0062295A">
      <w:pPr>
        <w:ind w:firstLine="567"/>
        <w:jc w:val="both"/>
        <w:rPr>
          <w:b/>
          <w:sz w:val="26"/>
          <w:szCs w:val="26"/>
        </w:rPr>
      </w:pPr>
      <w:r w:rsidRPr="00A81993">
        <w:rPr>
          <w:b/>
          <w:sz w:val="26"/>
          <w:szCs w:val="26"/>
        </w:rPr>
        <w:t>Эффективность реализации</w:t>
      </w:r>
      <w:r w:rsidRPr="00A81993">
        <w:rPr>
          <w:sz w:val="26"/>
          <w:szCs w:val="26"/>
        </w:rPr>
        <w:t xml:space="preserve"> государственной программы «Этносоциальное развитие и гармонизация межэтнических отношений» составляет</w:t>
      </w:r>
      <w:r w:rsidRPr="00A81993">
        <w:rPr>
          <w:b/>
          <w:sz w:val="26"/>
          <w:szCs w:val="26"/>
        </w:rPr>
        <w:t xml:space="preserve"> 0,997</w:t>
      </w:r>
      <w:r>
        <w:rPr>
          <w:b/>
          <w:sz w:val="26"/>
          <w:szCs w:val="26"/>
        </w:rPr>
        <w:t>.</w:t>
      </w:r>
    </w:p>
    <w:sectPr w:rsidR="00A81993" w:rsidRPr="00A81993" w:rsidSect="008D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EDC"/>
    <w:rsid w:val="00122772"/>
    <w:rsid w:val="001377ED"/>
    <w:rsid w:val="001A2EDC"/>
    <w:rsid w:val="00413968"/>
    <w:rsid w:val="004554E7"/>
    <w:rsid w:val="0062295A"/>
    <w:rsid w:val="008B4399"/>
    <w:rsid w:val="008D2169"/>
    <w:rsid w:val="008D2C2A"/>
    <w:rsid w:val="00904321"/>
    <w:rsid w:val="009A00DE"/>
    <w:rsid w:val="00A81993"/>
    <w:rsid w:val="00D55622"/>
    <w:rsid w:val="00ED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ED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ED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1A2EDC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A2EDC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">
    <w:name w:val="Без интервала2"/>
    <w:uiPriority w:val="99"/>
    <w:rsid w:val="001A2ED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Izmestiev</dc:creator>
  <cp:keywords/>
  <dc:description/>
  <cp:lastModifiedBy>Izmestiev</cp:lastModifiedBy>
  <cp:revision>6</cp:revision>
  <dcterms:created xsi:type="dcterms:W3CDTF">2017-05-18T13:57:00Z</dcterms:created>
  <dcterms:modified xsi:type="dcterms:W3CDTF">2017-05-24T09:53:00Z</dcterms:modified>
</cp:coreProperties>
</file>