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DC" w:rsidRPr="005F6849" w:rsidRDefault="001A2EDC" w:rsidP="001A2EDC">
      <w:pPr>
        <w:jc w:val="center"/>
        <w:rPr>
          <w:b/>
          <w:sz w:val="26"/>
          <w:szCs w:val="26"/>
        </w:rPr>
      </w:pPr>
      <w:r>
        <w:rPr>
          <w:b/>
          <w:sz w:val="26"/>
          <w:szCs w:val="26"/>
        </w:rPr>
        <w:t>ДОКЛАД</w:t>
      </w:r>
    </w:p>
    <w:p w:rsidR="001A2EDC" w:rsidRDefault="001A2EDC" w:rsidP="001A2EDC">
      <w:pPr>
        <w:jc w:val="center"/>
        <w:rPr>
          <w:b/>
          <w:sz w:val="26"/>
          <w:szCs w:val="26"/>
        </w:rPr>
      </w:pPr>
      <w:r w:rsidRPr="005F6849">
        <w:rPr>
          <w:b/>
          <w:sz w:val="26"/>
          <w:szCs w:val="26"/>
        </w:rPr>
        <w:t>о реализации Государственной программы Удмуртской Республики «Этносоциальное развитие и гармонизация межэтнических отношений»</w:t>
      </w:r>
    </w:p>
    <w:p w:rsidR="001A2EDC" w:rsidRPr="005F6849" w:rsidRDefault="001A2EDC" w:rsidP="001A2EDC">
      <w:pPr>
        <w:jc w:val="center"/>
        <w:rPr>
          <w:b/>
          <w:sz w:val="26"/>
          <w:szCs w:val="26"/>
        </w:rPr>
      </w:pPr>
      <w:r>
        <w:rPr>
          <w:b/>
          <w:sz w:val="26"/>
          <w:szCs w:val="26"/>
        </w:rPr>
        <w:t xml:space="preserve">в </w:t>
      </w:r>
      <w:r w:rsidRPr="005F6849">
        <w:rPr>
          <w:b/>
          <w:sz w:val="26"/>
          <w:szCs w:val="26"/>
        </w:rPr>
        <w:t>201</w:t>
      </w:r>
      <w:r w:rsidR="00AD3DC6" w:rsidRPr="008764DB">
        <w:rPr>
          <w:b/>
          <w:sz w:val="26"/>
          <w:szCs w:val="26"/>
        </w:rPr>
        <w:t>7</w:t>
      </w:r>
      <w:r w:rsidRPr="005F6849">
        <w:rPr>
          <w:b/>
          <w:sz w:val="26"/>
          <w:szCs w:val="26"/>
        </w:rPr>
        <w:t xml:space="preserve"> год</w:t>
      </w:r>
      <w:r>
        <w:rPr>
          <w:b/>
          <w:sz w:val="26"/>
          <w:szCs w:val="26"/>
        </w:rPr>
        <w:t>у</w:t>
      </w:r>
    </w:p>
    <w:p w:rsidR="001A2EDC" w:rsidRPr="005F6849" w:rsidRDefault="001A2EDC" w:rsidP="001A2EDC">
      <w:pPr>
        <w:jc w:val="center"/>
        <w:rPr>
          <w:b/>
          <w:sz w:val="26"/>
          <w:szCs w:val="26"/>
        </w:rPr>
      </w:pPr>
    </w:p>
    <w:p w:rsidR="001A2EDC" w:rsidRPr="004762BE" w:rsidRDefault="001A2EDC" w:rsidP="001A2EDC">
      <w:pPr>
        <w:tabs>
          <w:tab w:val="left" w:pos="709"/>
        </w:tabs>
        <w:ind w:firstLine="709"/>
        <w:jc w:val="center"/>
        <w:rPr>
          <w:b/>
          <w:sz w:val="26"/>
          <w:szCs w:val="26"/>
        </w:rPr>
      </w:pPr>
      <w:r w:rsidRPr="004762BE">
        <w:rPr>
          <w:b/>
          <w:sz w:val="26"/>
          <w:szCs w:val="26"/>
        </w:rPr>
        <w:t>Основные результаты реализации государственной программы, достигнутые в отчетном году; вклад основных результатов в решение задач и</w:t>
      </w:r>
    </w:p>
    <w:p w:rsidR="001A2EDC" w:rsidRDefault="001A2EDC" w:rsidP="001A2EDC">
      <w:pPr>
        <w:jc w:val="center"/>
        <w:rPr>
          <w:b/>
          <w:sz w:val="26"/>
          <w:szCs w:val="26"/>
        </w:rPr>
      </w:pPr>
      <w:r w:rsidRPr="004762BE">
        <w:rPr>
          <w:b/>
          <w:sz w:val="26"/>
          <w:szCs w:val="26"/>
        </w:rPr>
        <w:t>достижение целей государственной программы; анализ факторов повлиявших на ход реализации программы; обоснование причин недовыполнения целевых показателей (индикаторов) Межнациональные отношения и этнокультурное развитие народов Российской Федерации</w:t>
      </w:r>
    </w:p>
    <w:p w:rsidR="001A2EDC" w:rsidRPr="004F2F48" w:rsidRDefault="001A2EDC" w:rsidP="001A2EDC">
      <w:pPr>
        <w:suppressAutoHyphens/>
        <w:jc w:val="center"/>
        <w:outlineLvl w:val="0"/>
        <w:rPr>
          <w:b/>
          <w:sz w:val="26"/>
          <w:szCs w:val="26"/>
        </w:rPr>
      </w:pPr>
    </w:p>
    <w:p w:rsidR="001A2EDC" w:rsidRDefault="001A2EDC" w:rsidP="001A2EDC">
      <w:pPr>
        <w:pStyle w:val="1"/>
        <w:shd w:val="clear" w:color="auto" w:fill="FFFFFF"/>
        <w:spacing w:before="120" w:after="0" w:line="240" w:lineRule="auto"/>
        <w:ind w:firstLine="550"/>
        <w:jc w:val="both"/>
        <w:rPr>
          <w:rFonts w:ascii="Times New Roman" w:hAnsi="Times New Roman" w:cs="Times New Roman"/>
          <w:b w:val="0"/>
          <w:sz w:val="26"/>
          <w:szCs w:val="26"/>
        </w:rPr>
      </w:pPr>
      <w:r w:rsidRPr="0094539D">
        <w:rPr>
          <w:rFonts w:ascii="Times New Roman" w:hAnsi="Times New Roman" w:cs="Times New Roman"/>
          <w:b w:val="0"/>
          <w:sz w:val="26"/>
          <w:szCs w:val="26"/>
        </w:rPr>
        <w:t>Работа в сфере гармонизации межнациональных отношений на территории Удмуртской Республики ведется в рамках государственной программы Удмуртской Республики «Этносоциальное развитие и гармонизация ме</w:t>
      </w:r>
      <w:r>
        <w:rPr>
          <w:rFonts w:ascii="Times New Roman" w:hAnsi="Times New Roman" w:cs="Times New Roman"/>
          <w:b w:val="0"/>
          <w:sz w:val="26"/>
          <w:szCs w:val="26"/>
        </w:rPr>
        <w:t>жэтнических отношений».</w:t>
      </w:r>
    </w:p>
    <w:p w:rsidR="001A2EDC" w:rsidRDefault="001A2EDC" w:rsidP="001A2EDC">
      <w:pPr>
        <w:ind w:firstLine="567"/>
        <w:jc w:val="both"/>
        <w:rPr>
          <w:sz w:val="26"/>
          <w:szCs w:val="26"/>
          <w:lang w:eastAsia="en-US"/>
        </w:rPr>
      </w:pPr>
      <w:proofErr w:type="gramStart"/>
      <w:r w:rsidRPr="0062295A">
        <w:rPr>
          <w:b/>
          <w:sz w:val="26"/>
          <w:szCs w:val="26"/>
          <w:lang w:eastAsia="en-US"/>
        </w:rPr>
        <w:t>В рамках указанной государственной программы было запланировано 1</w:t>
      </w:r>
      <w:r w:rsidR="008764DB">
        <w:rPr>
          <w:b/>
          <w:sz w:val="26"/>
          <w:szCs w:val="26"/>
          <w:lang w:eastAsia="en-US"/>
        </w:rPr>
        <w:t>1</w:t>
      </w:r>
      <w:proofErr w:type="gramEnd"/>
      <w:r w:rsidRPr="0062295A">
        <w:rPr>
          <w:b/>
          <w:sz w:val="26"/>
          <w:szCs w:val="26"/>
          <w:lang w:eastAsia="en-US"/>
        </w:rPr>
        <w:t xml:space="preserve"> основных мероприятий, </w:t>
      </w:r>
      <w:r w:rsidR="004554E7" w:rsidRPr="0062295A">
        <w:rPr>
          <w:b/>
          <w:sz w:val="26"/>
          <w:szCs w:val="26"/>
          <w:lang w:eastAsia="en-US"/>
        </w:rPr>
        <w:t>исполнены – 1</w:t>
      </w:r>
      <w:r w:rsidR="008764DB">
        <w:rPr>
          <w:b/>
          <w:sz w:val="26"/>
          <w:szCs w:val="26"/>
          <w:lang w:eastAsia="en-US"/>
        </w:rPr>
        <w:t>1</w:t>
      </w:r>
      <w:r w:rsidR="004554E7" w:rsidRPr="0062295A">
        <w:rPr>
          <w:b/>
          <w:sz w:val="26"/>
          <w:szCs w:val="26"/>
          <w:lang w:eastAsia="en-US"/>
        </w:rPr>
        <w:t>.</w:t>
      </w:r>
      <w:r w:rsidR="004554E7" w:rsidRPr="004554E7">
        <w:rPr>
          <w:sz w:val="26"/>
          <w:szCs w:val="26"/>
          <w:lang w:eastAsia="en-US"/>
        </w:rPr>
        <w:t xml:space="preserve"> </w:t>
      </w:r>
    </w:p>
    <w:p w:rsidR="0062295A" w:rsidRDefault="0062295A" w:rsidP="001A2EDC">
      <w:pPr>
        <w:ind w:firstLine="567"/>
        <w:jc w:val="both"/>
        <w:rPr>
          <w:b/>
          <w:sz w:val="26"/>
          <w:szCs w:val="26"/>
          <w:lang w:eastAsia="en-US"/>
        </w:rPr>
      </w:pPr>
      <w:r>
        <w:rPr>
          <w:sz w:val="26"/>
          <w:szCs w:val="26"/>
          <w:lang w:eastAsia="en-US"/>
        </w:rPr>
        <w:t>С</w:t>
      </w:r>
      <w:r w:rsidRPr="0062295A">
        <w:rPr>
          <w:sz w:val="26"/>
          <w:szCs w:val="26"/>
          <w:lang w:eastAsia="en-US"/>
        </w:rPr>
        <w:t xml:space="preserve">водная бюджетная роспись </w:t>
      </w:r>
      <w:r>
        <w:rPr>
          <w:sz w:val="26"/>
          <w:szCs w:val="26"/>
          <w:lang w:eastAsia="en-US"/>
        </w:rPr>
        <w:t xml:space="preserve">государственной программы «Этносоциальное развитие и гармонизация межэтнических отношений» составила </w:t>
      </w:r>
      <w:r w:rsidR="00AD3DC6">
        <w:rPr>
          <w:sz w:val="26"/>
          <w:szCs w:val="26"/>
          <w:lang w:eastAsia="en-US"/>
        </w:rPr>
        <w:t>68830</w:t>
      </w:r>
      <w:r w:rsidR="00AD3DC6" w:rsidRPr="00AD3DC6">
        <w:rPr>
          <w:sz w:val="26"/>
          <w:szCs w:val="26"/>
          <w:lang w:eastAsia="en-US"/>
        </w:rPr>
        <w:t>,6</w:t>
      </w:r>
      <w:r>
        <w:rPr>
          <w:sz w:val="26"/>
          <w:szCs w:val="26"/>
          <w:lang w:eastAsia="en-US"/>
        </w:rPr>
        <w:t xml:space="preserve"> тыс. рублей, </w:t>
      </w:r>
      <w:r w:rsidR="00413968">
        <w:rPr>
          <w:sz w:val="26"/>
          <w:szCs w:val="26"/>
          <w:lang w:eastAsia="en-US"/>
        </w:rPr>
        <w:t>кассовое исполнение –</w:t>
      </w:r>
      <w:r w:rsidR="00AD3DC6">
        <w:rPr>
          <w:sz w:val="26"/>
          <w:szCs w:val="26"/>
          <w:lang w:eastAsia="en-US"/>
        </w:rPr>
        <w:t xml:space="preserve"> 68498,9 </w:t>
      </w:r>
      <w:r w:rsidR="00413968">
        <w:rPr>
          <w:sz w:val="26"/>
          <w:szCs w:val="26"/>
          <w:lang w:eastAsia="en-US"/>
        </w:rPr>
        <w:t xml:space="preserve">тыс. рублей (из них </w:t>
      </w:r>
      <w:r w:rsidR="00AD3DC6">
        <w:rPr>
          <w:sz w:val="26"/>
          <w:szCs w:val="26"/>
          <w:lang w:eastAsia="en-US"/>
        </w:rPr>
        <w:t>4968,4</w:t>
      </w:r>
      <w:r w:rsidR="00413968">
        <w:rPr>
          <w:sz w:val="26"/>
          <w:szCs w:val="26"/>
          <w:lang w:eastAsia="en-US"/>
        </w:rPr>
        <w:t xml:space="preserve"> тыс.</w:t>
      </w:r>
      <w:r w:rsidR="00AD3DC6">
        <w:rPr>
          <w:sz w:val="26"/>
          <w:szCs w:val="26"/>
          <w:lang w:eastAsia="en-US"/>
        </w:rPr>
        <w:t> </w:t>
      </w:r>
      <w:r w:rsidR="00413968">
        <w:rPr>
          <w:sz w:val="26"/>
          <w:szCs w:val="26"/>
          <w:lang w:eastAsia="en-US"/>
        </w:rPr>
        <w:t xml:space="preserve">руб. из средств федерального бюджета). Таким образом, </w:t>
      </w:r>
      <w:r w:rsidR="001377ED">
        <w:rPr>
          <w:sz w:val="26"/>
          <w:szCs w:val="26"/>
          <w:lang w:eastAsia="en-US"/>
        </w:rPr>
        <w:t>с</w:t>
      </w:r>
      <w:r w:rsidR="00A81993" w:rsidRPr="00A81993">
        <w:rPr>
          <w:sz w:val="26"/>
          <w:szCs w:val="26"/>
          <w:lang w:eastAsia="en-US"/>
        </w:rPr>
        <w:t>тепень соответствия запланированному уровню расходов государственной программы за счет средств бюдже</w:t>
      </w:r>
      <w:r w:rsidR="001377ED">
        <w:rPr>
          <w:sz w:val="26"/>
          <w:szCs w:val="26"/>
          <w:lang w:eastAsia="en-US"/>
        </w:rPr>
        <w:t>та Удмуртской Республики составляет</w:t>
      </w:r>
      <w:r w:rsidR="00413968">
        <w:rPr>
          <w:sz w:val="26"/>
          <w:szCs w:val="26"/>
          <w:lang w:eastAsia="en-US"/>
        </w:rPr>
        <w:t xml:space="preserve"> </w:t>
      </w:r>
      <w:r w:rsidR="00413968" w:rsidRPr="00413968">
        <w:rPr>
          <w:b/>
          <w:sz w:val="26"/>
          <w:szCs w:val="26"/>
          <w:lang w:eastAsia="en-US"/>
        </w:rPr>
        <w:t>99,</w:t>
      </w:r>
      <w:r w:rsidR="00AD3DC6">
        <w:rPr>
          <w:b/>
          <w:sz w:val="26"/>
          <w:szCs w:val="26"/>
          <w:lang w:eastAsia="en-US"/>
        </w:rPr>
        <w:t xml:space="preserve">5 </w:t>
      </w:r>
      <w:r w:rsidR="00413968" w:rsidRPr="00413968">
        <w:rPr>
          <w:b/>
          <w:sz w:val="26"/>
          <w:szCs w:val="26"/>
          <w:lang w:eastAsia="en-US"/>
        </w:rPr>
        <w:t>%.</w:t>
      </w:r>
    </w:p>
    <w:p w:rsidR="00AD3DC6" w:rsidRPr="00AD3DC6" w:rsidRDefault="00AD3DC6" w:rsidP="00AD3DC6">
      <w:pPr>
        <w:ind w:firstLine="567"/>
        <w:jc w:val="both"/>
        <w:rPr>
          <w:rFonts w:eastAsia="Times New Roman CYR"/>
          <w:bCs/>
          <w:kern w:val="32"/>
          <w:sz w:val="26"/>
          <w:szCs w:val="26"/>
          <w:lang w:eastAsia="en-US"/>
        </w:rPr>
      </w:pPr>
      <w:r w:rsidRPr="00AD3DC6">
        <w:rPr>
          <w:rFonts w:eastAsia="Times New Roman CYR"/>
          <w:bCs/>
          <w:kern w:val="32"/>
          <w:sz w:val="26"/>
          <w:szCs w:val="26"/>
          <w:lang w:eastAsia="en-US"/>
        </w:rPr>
        <w:t>В 2017 г</w:t>
      </w:r>
      <w:r>
        <w:rPr>
          <w:rFonts w:eastAsia="Times New Roman CYR"/>
          <w:bCs/>
          <w:kern w:val="32"/>
          <w:sz w:val="26"/>
          <w:szCs w:val="26"/>
          <w:lang w:eastAsia="en-US"/>
        </w:rPr>
        <w:t>оду</w:t>
      </w:r>
      <w:r w:rsidRPr="00AD3DC6">
        <w:rPr>
          <w:rFonts w:eastAsia="Times New Roman CYR"/>
          <w:bCs/>
          <w:kern w:val="32"/>
          <w:sz w:val="26"/>
          <w:szCs w:val="26"/>
          <w:lang w:eastAsia="en-US"/>
        </w:rPr>
        <w:t xml:space="preserve"> в Удмуртии каких-либо серьезных конфликтов в сфере межэтнических отношений не зафиксировано. Ситуация в этноконфессиональной сфере остается стабильной, принимаемые органами власти и общественностью меры позволяют контролировать ситуацию. Этнокультурные различия не являются факторами дестабилизации общественно-политического климата, воспринимаются в обществе спокойно. В целях диагностики текущего состояния межэтнических отношений и выявления факторов риска в данной сфере в Удмуртской Республике в ноябре-декабре 2017 г. проведен очередной опрос общественного мнения. Его результаты подтверждают благоприятный климат межэтнических отношений в республике. </w:t>
      </w:r>
    </w:p>
    <w:p w:rsidR="001A2EDC" w:rsidRDefault="00AD3DC6" w:rsidP="00AD3DC6">
      <w:pPr>
        <w:ind w:firstLine="567"/>
        <w:jc w:val="both"/>
        <w:rPr>
          <w:rFonts w:eastAsia="Times New Roman CYR"/>
          <w:bCs/>
          <w:kern w:val="32"/>
          <w:sz w:val="26"/>
          <w:szCs w:val="26"/>
          <w:lang w:eastAsia="en-US"/>
        </w:rPr>
      </w:pPr>
      <w:r w:rsidRPr="00AD3DC6">
        <w:rPr>
          <w:rFonts w:eastAsia="Times New Roman CYR"/>
          <w:bCs/>
          <w:kern w:val="32"/>
          <w:sz w:val="26"/>
          <w:szCs w:val="26"/>
          <w:lang w:eastAsia="en-US"/>
        </w:rPr>
        <w:t>Об этом, в частности, свидетельствует тот факт, что в рейтинге проблем, которые, по мнению респондентов, требуют решения в первоочередном порядке, проблема напряженности в сфере межнациональных и межконфессиональных отношений в Удмуртии заняла последнее место – ее обозначили всего 1,8% опрошенных. На первых позициях – вопросы экономического характера, благосостояния граждан.</w:t>
      </w:r>
    </w:p>
    <w:p w:rsidR="00AD3DC6" w:rsidRDefault="00AD3DC6" w:rsidP="00AD3DC6">
      <w:pPr>
        <w:ind w:firstLine="567"/>
        <w:jc w:val="both"/>
        <w:rPr>
          <w:rFonts w:eastAsia="Times New Roman CYR"/>
          <w:sz w:val="26"/>
          <w:szCs w:val="26"/>
          <w:lang w:eastAsia="en-US"/>
        </w:rPr>
      </w:pPr>
      <w:r w:rsidRPr="00AD3DC6">
        <w:rPr>
          <w:rFonts w:eastAsia="Times New Roman CYR"/>
          <w:b/>
          <w:sz w:val="26"/>
          <w:szCs w:val="26"/>
          <w:lang w:eastAsia="en-US"/>
        </w:rPr>
        <w:t>Доля граждан, положительно оценивающих состояние межнациональных отношений в Удмуртии</w:t>
      </w:r>
      <w:r w:rsidRPr="00AD3DC6">
        <w:rPr>
          <w:rFonts w:eastAsia="Times New Roman CYR"/>
          <w:sz w:val="26"/>
          <w:szCs w:val="26"/>
          <w:lang w:eastAsia="en-US"/>
        </w:rPr>
        <w:t xml:space="preserve">, составила </w:t>
      </w:r>
      <w:r w:rsidRPr="00AD3DC6">
        <w:rPr>
          <w:rFonts w:eastAsia="Times New Roman CYR"/>
          <w:b/>
          <w:sz w:val="26"/>
          <w:szCs w:val="26"/>
          <w:lang w:eastAsia="en-US"/>
        </w:rPr>
        <w:t>88,2%</w:t>
      </w:r>
      <w:r>
        <w:rPr>
          <w:rFonts w:eastAsia="Times New Roman CYR"/>
          <w:b/>
          <w:sz w:val="26"/>
          <w:szCs w:val="26"/>
          <w:lang w:eastAsia="en-US"/>
        </w:rPr>
        <w:t xml:space="preserve"> </w:t>
      </w:r>
      <w:r w:rsidRPr="00AD3DC6">
        <w:rPr>
          <w:rFonts w:eastAsia="Times New Roman CYR"/>
          <w:sz w:val="26"/>
          <w:szCs w:val="26"/>
          <w:lang w:eastAsia="en-US"/>
        </w:rPr>
        <w:t>(плановый показатель – 67,5 %)</w:t>
      </w:r>
      <w:r>
        <w:rPr>
          <w:rFonts w:eastAsia="Times New Roman CYR"/>
          <w:sz w:val="26"/>
          <w:szCs w:val="26"/>
          <w:lang w:eastAsia="en-US"/>
        </w:rPr>
        <w:t>.</w:t>
      </w:r>
      <w:r w:rsidRPr="00AD3DC6">
        <w:rPr>
          <w:rFonts w:eastAsia="Times New Roman CYR"/>
          <w:sz w:val="26"/>
          <w:szCs w:val="26"/>
          <w:lang w:eastAsia="en-US"/>
        </w:rPr>
        <w:t xml:space="preserve"> Обеспокоенность положением дел в указанной сфере (межнациональная обстановка в УР «тревожная», «напряженная» или «на грани взрыва») проявили в обшей сложности 10,1% респондентов</w:t>
      </w:r>
      <w:r>
        <w:rPr>
          <w:rFonts w:eastAsia="Times New Roman CYR"/>
          <w:sz w:val="26"/>
          <w:szCs w:val="26"/>
          <w:lang w:eastAsia="en-US"/>
        </w:rPr>
        <w:t>.</w:t>
      </w:r>
    </w:p>
    <w:p w:rsidR="00AD3DC6" w:rsidRPr="00AD3DC6" w:rsidRDefault="00AD3DC6" w:rsidP="00AD3DC6">
      <w:pPr>
        <w:ind w:firstLine="567"/>
        <w:jc w:val="both"/>
        <w:rPr>
          <w:rFonts w:eastAsia="Times New Roman CYR"/>
          <w:i/>
          <w:sz w:val="26"/>
          <w:szCs w:val="26"/>
          <w:lang w:eastAsia="en-US"/>
        </w:rPr>
      </w:pPr>
      <w:r w:rsidRPr="00AD3DC6">
        <w:rPr>
          <w:rFonts w:eastAsia="Times New Roman CYR"/>
          <w:i/>
          <w:sz w:val="26"/>
          <w:szCs w:val="26"/>
          <w:lang w:eastAsia="en-US"/>
        </w:rPr>
        <w:t>Для сравнения: в Республике Татарстан (июнь-август 2017 г.) аналогичный «индекс спокойствия» составил 77,2%, в Нижегородской области (ноябрь 2017 г.) – 84,3 %, в Чувашской Республике (октябрь-ноябрь 2017 г.) – 90,0 %.</w:t>
      </w:r>
    </w:p>
    <w:p w:rsidR="00AD3DC6" w:rsidRPr="00ED027A" w:rsidRDefault="001A2EDC" w:rsidP="00AD3DC6">
      <w:pPr>
        <w:shd w:val="clear" w:color="auto" w:fill="FFFFFF"/>
        <w:ind w:firstLine="539"/>
        <w:jc w:val="both"/>
        <w:rPr>
          <w:color w:val="000000"/>
          <w:sz w:val="26"/>
          <w:szCs w:val="26"/>
          <w:shd w:val="clear" w:color="auto" w:fill="FFFFFF"/>
        </w:rPr>
      </w:pPr>
      <w:r w:rsidRPr="001A2EDC">
        <w:rPr>
          <w:b/>
          <w:color w:val="000000"/>
          <w:sz w:val="26"/>
          <w:szCs w:val="26"/>
          <w:shd w:val="clear" w:color="auto" w:fill="FFFFFF"/>
        </w:rPr>
        <w:lastRenderedPageBreak/>
        <w:t>Уровень толерантности (гетерооценка)</w:t>
      </w:r>
      <w:r>
        <w:rPr>
          <w:b/>
          <w:color w:val="000000"/>
          <w:sz w:val="26"/>
          <w:szCs w:val="26"/>
          <w:shd w:val="clear" w:color="auto" w:fill="FFFFFF"/>
        </w:rPr>
        <w:t xml:space="preserve"> </w:t>
      </w:r>
      <w:r>
        <w:rPr>
          <w:color w:val="000000"/>
          <w:sz w:val="26"/>
          <w:szCs w:val="26"/>
          <w:shd w:val="clear" w:color="auto" w:fill="FFFFFF"/>
        </w:rPr>
        <w:t xml:space="preserve">составил </w:t>
      </w:r>
      <w:r w:rsidR="00AD3DC6" w:rsidRPr="00AD3DC6">
        <w:rPr>
          <w:b/>
          <w:color w:val="000000"/>
          <w:sz w:val="26"/>
          <w:szCs w:val="26"/>
          <w:shd w:val="clear" w:color="auto" w:fill="FFFFFF"/>
        </w:rPr>
        <w:t>90,9 %</w:t>
      </w:r>
      <w:r w:rsidR="00AD3DC6">
        <w:rPr>
          <w:color w:val="000000"/>
          <w:sz w:val="26"/>
          <w:szCs w:val="26"/>
          <w:shd w:val="clear" w:color="auto" w:fill="FFFFFF"/>
        </w:rPr>
        <w:t xml:space="preserve"> при плановом показателе 90,5 %. </w:t>
      </w:r>
      <w:r w:rsidR="00AD3DC6" w:rsidRPr="00AD3DC6">
        <w:rPr>
          <w:color w:val="000000"/>
          <w:sz w:val="26"/>
          <w:szCs w:val="26"/>
          <w:shd w:val="clear" w:color="auto" w:fill="FFFFFF"/>
        </w:rPr>
        <w:t>Вместе с тем, опрос выявил некоторую разницу в оценках между этническими группами при ответе на данный вопрос: случаи проявления негативного отношения чаще отмечают удмурты – 19,8%, реже – татары (6,7%), тогда как среди русских данный показатель составил 3,6%.</w:t>
      </w:r>
    </w:p>
    <w:p w:rsidR="004554E7" w:rsidRDefault="004554E7" w:rsidP="004554E7">
      <w:pPr>
        <w:shd w:val="clear" w:color="auto" w:fill="FFFFFF"/>
        <w:ind w:firstLine="539"/>
        <w:jc w:val="both"/>
        <w:rPr>
          <w:color w:val="000000"/>
          <w:sz w:val="26"/>
          <w:szCs w:val="26"/>
          <w:shd w:val="clear" w:color="auto" w:fill="FFFFFF"/>
        </w:rPr>
      </w:pPr>
      <w:r w:rsidRPr="004554E7">
        <w:rPr>
          <w:b/>
          <w:color w:val="000000"/>
          <w:sz w:val="26"/>
          <w:szCs w:val="26"/>
          <w:shd w:val="clear" w:color="auto" w:fill="FFFFFF"/>
        </w:rPr>
        <w:t>Уровень толерантного отношения к представителям другой национальности (</w:t>
      </w:r>
      <w:proofErr w:type="spellStart"/>
      <w:r w:rsidRPr="004554E7">
        <w:rPr>
          <w:b/>
          <w:color w:val="000000"/>
          <w:sz w:val="26"/>
          <w:szCs w:val="26"/>
          <w:shd w:val="clear" w:color="auto" w:fill="FFFFFF"/>
        </w:rPr>
        <w:t>автооценка</w:t>
      </w:r>
      <w:proofErr w:type="spellEnd"/>
      <w:r w:rsidRPr="004554E7">
        <w:rPr>
          <w:b/>
          <w:color w:val="000000"/>
          <w:sz w:val="26"/>
          <w:szCs w:val="26"/>
          <w:shd w:val="clear" w:color="auto" w:fill="FFFFFF"/>
        </w:rPr>
        <w:t>)</w:t>
      </w:r>
      <w:r>
        <w:rPr>
          <w:b/>
          <w:color w:val="000000"/>
          <w:sz w:val="26"/>
          <w:szCs w:val="26"/>
          <w:shd w:val="clear" w:color="auto" w:fill="FFFFFF"/>
        </w:rPr>
        <w:t xml:space="preserve"> </w:t>
      </w:r>
      <w:r>
        <w:rPr>
          <w:color w:val="000000"/>
          <w:sz w:val="26"/>
          <w:szCs w:val="26"/>
          <w:shd w:val="clear" w:color="auto" w:fill="FFFFFF"/>
        </w:rPr>
        <w:t xml:space="preserve">достиг </w:t>
      </w:r>
      <w:r w:rsidR="00AD3DC6" w:rsidRPr="00AD3DC6">
        <w:rPr>
          <w:b/>
          <w:color w:val="000000"/>
          <w:sz w:val="26"/>
          <w:szCs w:val="26"/>
          <w:shd w:val="clear" w:color="auto" w:fill="FFFFFF"/>
        </w:rPr>
        <w:t>91,8</w:t>
      </w:r>
      <w:r w:rsidR="00AD3DC6">
        <w:rPr>
          <w:b/>
          <w:color w:val="000000"/>
          <w:sz w:val="26"/>
          <w:szCs w:val="26"/>
          <w:shd w:val="clear" w:color="auto" w:fill="FFFFFF"/>
        </w:rPr>
        <w:t xml:space="preserve"> </w:t>
      </w:r>
      <w:r w:rsidR="00AD3DC6" w:rsidRPr="00AD3DC6">
        <w:rPr>
          <w:b/>
          <w:color w:val="000000"/>
          <w:sz w:val="26"/>
          <w:szCs w:val="26"/>
          <w:shd w:val="clear" w:color="auto" w:fill="FFFFFF"/>
        </w:rPr>
        <w:t>%</w:t>
      </w:r>
      <w:r w:rsidR="00AD3DC6">
        <w:rPr>
          <w:color w:val="000000"/>
          <w:sz w:val="26"/>
          <w:szCs w:val="26"/>
          <w:shd w:val="clear" w:color="auto" w:fill="FFFFFF"/>
        </w:rPr>
        <w:t xml:space="preserve"> (плановое значение – 85,0 %).</w:t>
      </w:r>
      <w:r w:rsidR="00AD3DC6" w:rsidRPr="00AD3DC6">
        <w:rPr>
          <w:color w:val="000000"/>
          <w:sz w:val="26"/>
          <w:szCs w:val="26"/>
          <w:shd w:val="clear" w:color="auto" w:fill="FFFFFF"/>
        </w:rPr>
        <w:t xml:space="preserve"> О наличии у них неприязни к представителям иных национальн</w:t>
      </w:r>
      <w:r w:rsidR="00AD3DC6">
        <w:rPr>
          <w:color w:val="000000"/>
          <w:sz w:val="26"/>
          <w:szCs w:val="26"/>
          <w:shd w:val="clear" w:color="auto" w:fill="FFFFFF"/>
        </w:rPr>
        <w:t>остей заявили лишь 8,2% респондентов.</w:t>
      </w:r>
    </w:p>
    <w:p w:rsidR="00AD3DC6" w:rsidRDefault="00AD3DC6" w:rsidP="004554E7">
      <w:pPr>
        <w:shd w:val="clear" w:color="auto" w:fill="FFFFFF"/>
        <w:ind w:firstLine="539"/>
        <w:jc w:val="both"/>
        <w:rPr>
          <w:color w:val="000000"/>
          <w:sz w:val="26"/>
          <w:szCs w:val="26"/>
          <w:shd w:val="clear" w:color="auto" w:fill="FFFFFF"/>
        </w:rPr>
      </w:pPr>
      <w:r w:rsidRPr="00AD3DC6">
        <w:rPr>
          <w:color w:val="000000"/>
          <w:sz w:val="26"/>
          <w:szCs w:val="26"/>
          <w:shd w:val="clear" w:color="auto" w:fill="FFFFFF"/>
        </w:rPr>
        <w:t>В качестве основной причины неприязни к представителям других народов респонденты, признавшиеся в ксенофобских чувствах, называли несоблюдение ими принятых норм поведен</w:t>
      </w:r>
      <w:r w:rsidR="005F08DE">
        <w:rPr>
          <w:color w:val="000000"/>
          <w:sz w:val="26"/>
          <w:szCs w:val="26"/>
          <w:shd w:val="clear" w:color="auto" w:fill="FFFFFF"/>
        </w:rPr>
        <w:t>ия – этот фактор выделили 67,3% респондентов.</w:t>
      </w:r>
    </w:p>
    <w:p w:rsidR="00AD3DC6" w:rsidRPr="00011C1E" w:rsidRDefault="00AD3DC6" w:rsidP="00AD3DC6">
      <w:pPr>
        <w:spacing w:before="120" w:after="120" w:line="276" w:lineRule="auto"/>
        <w:jc w:val="center"/>
        <w:rPr>
          <w:b/>
          <w:bCs/>
        </w:rPr>
      </w:pPr>
      <w:r w:rsidRPr="00011C1E">
        <w:rPr>
          <w:b/>
          <w:bCs/>
        </w:rPr>
        <w:t>Существует ли у Вас лично неприязнь к представителям каких-либо народов?</w:t>
      </w:r>
    </w:p>
    <w:tbl>
      <w:tblPr>
        <w:tblW w:w="10178"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8"/>
        <w:gridCol w:w="1333"/>
        <w:gridCol w:w="1334"/>
        <w:gridCol w:w="1334"/>
        <w:gridCol w:w="1334"/>
        <w:gridCol w:w="1334"/>
        <w:gridCol w:w="1291"/>
      </w:tblGrid>
      <w:tr w:rsidR="00AD3DC6" w:rsidRPr="00011C1E" w:rsidTr="007C40C6">
        <w:trPr>
          <w:jc w:val="center"/>
        </w:trPr>
        <w:tc>
          <w:tcPr>
            <w:tcW w:w="2218" w:type="dxa"/>
          </w:tcPr>
          <w:p w:rsidR="00AD3DC6" w:rsidRPr="00011C1E" w:rsidRDefault="00AD3DC6" w:rsidP="007C40C6">
            <w:pPr>
              <w:spacing w:line="276" w:lineRule="auto"/>
            </w:pPr>
          </w:p>
        </w:tc>
        <w:tc>
          <w:tcPr>
            <w:tcW w:w="1333" w:type="dxa"/>
            <w:vAlign w:val="bottom"/>
          </w:tcPr>
          <w:p w:rsidR="00AD3DC6" w:rsidRPr="00011C1E" w:rsidRDefault="00AD3DC6" w:rsidP="007C40C6">
            <w:pPr>
              <w:spacing w:line="276" w:lineRule="auto"/>
              <w:jc w:val="center"/>
              <w:rPr>
                <w:b/>
                <w:color w:val="000000"/>
              </w:rPr>
            </w:pPr>
            <w:r>
              <w:rPr>
                <w:b/>
                <w:color w:val="000000"/>
              </w:rPr>
              <w:t>2011 год</w:t>
            </w:r>
          </w:p>
        </w:tc>
        <w:tc>
          <w:tcPr>
            <w:tcW w:w="1334" w:type="dxa"/>
          </w:tcPr>
          <w:p w:rsidR="00AD3DC6" w:rsidRPr="00011C1E" w:rsidRDefault="00AD3DC6" w:rsidP="007C40C6">
            <w:pPr>
              <w:spacing w:line="276" w:lineRule="auto"/>
              <w:jc w:val="center"/>
              <w:rPr>
                <w:b/>
                <w:color w:val="000000"/>
              </w:rPr>
            </w:pPr>
            <w:r>
              <w:rPr>
                <w:b/>
                <w:color w:val="000000"/>
              </w:rPr>
              <w:t>2013 год</w:t>
            </w:r>
          </w:p>
        </w:tc>
        <w:tc>
          <w:tcPr>
            <w:tcW w:w="1334" w:type="dxa"/>
          </w:tcPr>
          <w:p w:rsidR="00AD3DC6" w:rsidRPr="00011C1E" w:rsidRDefault="00AD3DC6" w:rsidP="007C40C6">
            <w:pPr>
              <w:spacing w:line="276" w:lineRule="auto"/>
              <w:jc w:val="center"/>
              <w:rPr>
                <w:b/>
                <w:color w:val="000000"/>
              </w:rPr>
            </w:pPr>
            <w:r>
              <w:rPr>
                <w:b/>
                <w:color w:val="000000"/>
              </w:rPr>
              <w:t>2014 год</w:t>
            </w:r>
          </w:p>
        </w:tc>
        <w:tc>
          <w:tcPr>
            <w:tcW w:w="1334" w:type="dxa"/>
          </w:tcPr>
          <w:p w:rsidR="00AD3DC6" w:rsidRDefault="00AD3DC6" w:rsidP="007C40C6">
            <w:pPr>
              <w:spacing w:line="276" w:lineRule="auto"/>
              <w:jc w:val="center"/>
              <w:rPr>
                <w:b/>
                <w:color w:val="000000"/>
              </w:rPr>
            </w:pPr>
            <w:r>
              <w:rPr>
                <w:b/>
                <w:color w:val="000000"/>
              </w:rPr>
              <w:t>2015 год</w:t>
            </w:r>
          </w:p>
        </w:tc>
        <w:tc>
          <w:tcPr>
            <w:tcW w:w="1334" w:type="dxa"/>
          </w:tcPr>
          <w:p w:rsidR="00AD3DC6" w:rsidRDefault="00AD3DC6" w:rsidP="007C40C6">
            <w:pPr>
              <w:spacing w:line="276" w:lineRule="auto"/>
              <w:jc w:val="center"/>
              <w:rPr>
                <w:b/>
                <w:color w:val="000000"/>
              </w:rPr>
            </w:pPr>
            <w:r>
              <w:rPr>
                <w:b/>
                <w:color w:val="000000"/>
              </w:rPr>
              <w:t>2016 год</w:t>
            </w:r>
          </w:p>
        </w:tc>
        <w:tc>
          <w:tcPr>
            <w:tcW w:w="1291" w:type="dxa"/>
          </w:tcPr>
          <w:p w:rsidR="00AD3DC6" w:rsidRDefault="00AD3DC6" w:rsidP="007C40C6">
            <w:pPr>
              <w:spacing w:line="276" w:lineRule="auto"/>
              <w:jc w:val="center"/>
              <w:rPr>
                <w:b/>
                <w:color w:val="000000"/>
              </w:rPr>
            </w:pPr>
            <w:r>
              <w:rPr>
                <w:b/>
                <w:color w:val="000000"/>
              </w:rPr>
              <w:t>2017 год</w:t>
            </w:r>
          </w:p>
        </w:tc>
      </w:tr>
      <w:tr w:rsidR="00AD3DC6" w:rsidRPr="00011C1E" w:rsidTr="007C40C6">
        <w:trPr>
          <w:jc w:val="center"/>
        </w:trPr>
        <w:tc>
          <w:tcPr>
            <w:tcW w:w="2218" w:type="dxa"/>
          </w:tcPr>
          <w:p w:rsidR="00AD3DC6" w:rsidRPr="00011C1E" w:rsidRDefault="00AD3DC6" w:rsidP="007C40C6">
            <w:pPr>
              <w:spacing w:line="276" w:lineRule="auto"/>
            </w:pPr>
            <w:r w:rsidRPr="00011C1E">
              <w:t>1. Да</w:t>
            </w:r>
          </w:p>
        </w:tc>
        <w:tc>
          <w:tcPr>
            <w:tcW w:w="1333" w:type="dxa"/>
          </w:tcPr>
          <w:p w:rsidR="00AD3DC6" w:rsidRPr="00312D17" w:rsidRDefault="00AD3DC6" w:rsidP="007C40C6">
            <w:pPr>
              <w:spacing w:line="276" w:lineRule="auto"/>
              <w:jc w:val="center"/>
            </w:pPr>
            <w:r w:rsidRPr="00312D17">
              <w:t>22,5</w:t>
            </w:r>
          </w:p>
        </w:tc>
        <w:tc>
          <w:tcPr>
            <w:tcW w:w="1334" w:type="dxa"/>
            <w:vAlign w:val="bottom"/>
          </w:tcPr>
          <w:p w:rsidR="00AD3DC6" w:rsidRPr="00312D17" w:rsidRDefault="00AD3DC6" w:rsidP="007C40C6">
            <w:pPr>
              <w:spacing w:line="276" w:lineRule="auto"/>
              <w:jc w:val="center"/>
            </w:pPr>
            <w:r w:rsidRPr="00312D17">
              <w:t>24,2</w:t>
            </w:r>
          </w:p>
        </w:tc>
        <w:tc>
          <w:tcPr>
            <w:tcW w:w="1334" w:type="dxa"/>
            <w:vAlign w:val="bottom"/>
          </w:tcPr>
          <w:p w:rsidR="00AD3DC6" w:rsidRPr="00312D17" w:rsidRDefault="00AD3DC6" w:rsidP="007C40C6">
            <w:pPr>
              <w:spacing w:line="276" w:lineRule="auto"/>
              <w:jc w:val="center"/>
            </w:pPr>
            <w:r w:rsidRPr="00312D17">
              <w:t>13,8</w:t>
            </w:r>
          </w:p>
        </w:tc>
        <w:tc>
          <w:tcPr>
            <w:tcW w:w="1334" w:type="dxa"/>
          </w:tcPr>
          <w:p w:rsidR="00AD3DC6" w:rsidRPr="00312D17" w:rsidRDefault="00AD3DC6" w:rsidP="007C40C6">
            <w:pPr>
              <w:spacing w:line="276" w:lineRule="auto"/>
              <w:jc w:val="center"/>
            </w:pPr>
            <w:r w:rsidRPr="00312D17">
              <w:t>15,2</w:t>
            </w:r>
          </w:p>
        </w:tc>
        <w:tc>
          <w:tcPr>
            <w:tcW w:w="1334" w:type="dxa"/>
          </w:tcPr>
          <w:p w:rsidR="00AD3DC6" w:rsidRPr="00312D17" w:rsidRDefault="00AD3DC6" w:rsidP="007C40C6">
            <w:pPr>
              <w:spacing w:line="276" w:lineRule="auto"/>
              <w:jc w:val="center"/>
            </w:pPr>
            <w:r w:rsidRPr="00312D17">
              <w:t>14,0</w:t>
            </w:r>
          </w:p>
        </w:tc>
        <w:tc>
          <w:tcPr>
            <w:tcW w:w="1291" w:type="dxa"/>
          </w:tcPr>
          <w:p w:rsidR="00AD3DC6" w:rsidRPr="00312D17" w:rsidRDefault="00AD3DC6" w:rsidP="007C40C6">
            <w:pPr>
              <w:spacing w:line="276" w:lineRule="auto"/>
              <w:jc w:val="center"/>
            </w:pPr>
            <w:r>
              <w:t>8,2</w:t>
            </w:r>
          </w:p>
        </w:tc>
      </w:tr>
      <w:tr w:rsidR="00AD3DC6" w:rsidRPr="00011C1E" w:rsidTr="007C40C6">
        <w:trPr>
          <w:jc w:val="center"/>
        </w:trPr>
        <w:tc>
          <w:tcPr>
            <w:tcW w:w="2218" w:type="dxa"/>
          </w:tcPr>
          <w:p w:rsidR="00AD3DC6" w:rsidRPr="00011C1E" w:rsidRDefault="00AD3DC6" w:rsidP="007C40C6">
            <w:pPr>
              <w:spacing w:line="276" w:lineRule="auto"/>
            </w:pPr>
            <w:r w:rsidRPr="00011C1E">
              <w:t>2. Нет</w:t>
            </w:r>
          </w:p>
        </w:tc>
        <w:tc>
          <w:tcPr>
            <w:tcW w:w="1333" w:type="dxa"/>
          </w:tcPr>
          <w:p w:rsidR="00AD3DC6" w:rsidRPr="00312D17" w:rsidRDefault="00AD3DC6" w:rsidP="007C40C6">
            <w:pPr>
              <w:spacing w:line="276" w:lineRule="auto"/>
              <w:jc w:val="center"/>
            </w:pPr>
            <w:r w:rsidRPr="00312D17">
              <w:t>77,5</w:t>
            </w:r>
          </w:p>
        </w:tc>
        <w:tc>
          <w:tcPr>
            <w:tcW w:w="1334" w:type="dxa"/>
            <w:vAlign w:val="bottom"/>
          </w:tcPr>
          <w:p w:rsidR="00AD3DC6" w:rsidRPr="00312D17" w:rsidRDefault="00AD3DC6" w:rsidP="007C40C6">
            <w:pPr>
              <w:spacing w:line="276" w:lineRule="auto"/>
              <w:jc w:val="center"/>
            </w:pPr>
            <w:r w:rsidRPr="00312D17">
              <w:t>75,8</w:t>
            </w:r>
          </w:p>
        </w:tc>
        <w:tc>
          <w:tcPr>
            <w:tcW w:w="1334" w:type="dxa"/>
            <w:vAlign w:val="bottom"/>
          </w:tcPr>
          <w:p w:rsidR="00AD3DC6" w:rsidRPr="00312D17" w:rsidRDefault="00AD3DC6" w:rsidP="007C40C6">
            <w:pPr>
              <w:spacing w:line="276" w:lineRule="auto"/>
              <w:jc w:val="center"/>
            </w:pPr>
            <w:r w:rsidRPr="00312D17">
              <w:t>86,2</w:t>
            </w:r>
          </w:p>
        </w:tc>
        <w:tc>
          <w:tcPr>
            <w:tcW w:w="1334" w:type="dxa"/>
          </w:tcPr>
          <w:p w:rsidR="00AD3DC6" w:rsidRPr="00312D17" w:rsidRDefault="00AD3DC6" w:rsidP="007C40C6">
            <w:pPr>
              <w:spacing w:line="276" w:lineRule="auto"/>
              <w:jc w:val="center"/>
            </w:pPr>
            <w:r w:rsidRPr="00312D17">
              <w:t>84,8</w:t>
            </w:r>
          </w:p>
        </w:tc>
        <w:tc>
          <w:tcPr>
            <w:tcW w:w="1334" w:type="dxa"/>
          </w:tcPr>
          <w:p w:rsidR="00AD3DC6" w:rsidRPr="00312D17" w:rsidRDefault="00AD3DC6" w:rsidP="007C40C6">
            <w:pPr>
              <w:spacing w:line="276" w:lineRule="auto"/>
              <w:jc w:val="center"/>
            </w:pPr>
            <w:r w:rsidRPr="00312D17">
              <w:t>86,0</w:t>
            </w:r>
          </w:p>
        </w:tc>
        <w:tc>
          <w:tcPr>
            <w:tcW w:w="1291" w:type="dxa"/>
          </w:tcPr>
          <w:p w:rsidR="00AD3DC6" w:rsidRPr="00312D17" w:rsidRDefault="00AD3DC6" w:rsidP="007C40C6">
            <w:pPr>
              <w:spacing w:line="276" w:lineRule="auto"/>
              <w:jc w:val="center"/>
            </w:pPr>
            <w:r>
              <w:t>91,8</w:t>
            </w:r>
          </w:p>
        </w:tc>
      </w:tr>
    </w:tbl>
    <w:p w:rsidR="00AD3DC6" w:rsidRPr="004554E7" w:rsidRDefault="00AD3DC6" w:rsidP="004554E7">
      <w:pPr>
        <w:shd w:val="clear" w:color="auto" w:fill="FFFFFF"/>
        <w:ind w:firstLine="539"/>
        <w:jc w:val="both"/>
        <w:rPr>
          <w:color w:val="000000"/>
          <w:sz w:val="26"/>
          <w:szCs w:val="26"/>
          <w:shd w:val="clear" w:color="auto" w:fill="FFFFFF"/>
        </w:rPr>
      </w:pPr>
    </w:p>
    <w:p w:rsidR="005F08DE" w:rsidRDefault="001A2EDC" w:rsidP="001A2EDC">
      <w:pPr>
        <w:shd w:val="clear" w:color="auto" w:fill="FFFFFF"/>
        <w:ind w:firstLine="539"/>
        <w:jc w:val="both"/>
        <w:rPr>
          <w:b/>
          <w:color w:val="000000"/>
          <w:sz w:val="26"/>
          <w:szCs w:val="26"/>
          <w:shd w:val="clear" w:color="auto" w:fill="FFFFFF"/>
        </w:rPr>
      </w:pPr>
      <w:r w:rsidRPr="008B4399">
        <w:rPr>
          <w:b/>
          <w:color w:val="000000"/>
          <w:sz w:val="26"/>
          <w:szCs w:val="26"/>
          <w:shd w:val="clear" w:color="auto" w:fill="FFFFFF"/>
        </w:rPr>
        <w:t>Численность населения, принявшая участие проектов и мероприятий, реализуемых в рамках государственной программы</w:t>
      </w:r>
      <w:r>
        <w:rPr>
          <w:color w:val="000000"/>
          <w:sz w:val="26"/>
          <w:szCs w:val="26"/>
          <w:shd w:val="clear" w:color="auto" w:fill="FFFFFF"/>
        </w:rPr>
        <w:t xml:space="preserve"> «Этносоциальное развитие и гармонизация межэтнических отношений» составила </w:t>
      </w:r>
      <w:r w:rsidR="005F08DE" w:rsidRPr="005F08DE">
        <w:rPr>
          <w:b/>
          <w:color w:val="000000"/>
          <w:sz w:val="26"/>
          <w:szCs w:val="26"/>
          <w:shd w:val="clear" w:color="auto" w:fill="FFFFFF"/>
        </w:rPr>
        <w:t>780,537</w:t>
      </w:r>
      <w:r w:rsidR="005F08DE">
        <w:rPr>
          <w:b/>
          <w:color w:val="000000"/>
          <w:sz w:val="26"/>
          <w:szCs w:val="26"/>
          <w:shd w:val="clear" w:color="auto" w:fill="FFFFFF"/>
        </w:rPr>
        <w:t xml:space="preserve"> тыс. чел.</w:t>
      </w:r>
      <w:r w:rsidR="00AA6C3A">
        <w:rPr>
          <w:b/>
          <w:color w:val="000000"/>
          <w:sz w:val="26"/>
          <w:szCs w:val="26"/>
          <w:shd w:val="clear" w:color="auto" w:fill="FFFFFF"/>
        </w:rPr>
        <w:t xml:space="preserve"> (</w:t>
      </w:r>
      <w:r w:rsidR="00AA6C3A" w:rsidRPr="00AA6C3A">
        <w:rPr>
          <w:color w:val="000000"/>
          <w:sz w:val="26"/>
          <w:szCs w:val="26"/>
          <w:shd w:val="clear" w:color="auto" w:fill="FFFFFF"/>
        </w:rPr>
        <w:t>план – 650,0 тыс. чел.</w:t>
      </w:r>
      <w:r w:rsidR="00AA6C3A">
        <w:rPr>
          <w:b/>
          <w:color w:val="000000"/>
          <w:sz w:val="26"/>
          <w:szCs w:val="26"/>
          <w:shd w:val="clear" w:color="auto" w:fill="FFFFFF"/>
        </w:rPr>
        <w:t>)</w:t>
      </w:r>
      <w:r w:rsidR="005F08DE">
        <w:rPr>
          <w:b/>
          <w:color w:val="000000"/>
          <w:sz w:val="26"/>
          <w:szCs w:val="26"/>
          <w:shd w:val="clear" w:color="auto" w:fill="FFFFFF"/>
        </w:rPr>
        <w:t xml:space="preserve">, </w:t>
      </w:r>
      <w:r w:rsidR="005F08DE" w:rsidRPr="005F08DE">
        <w:rPr>
          <w:color w:val="000000"/>
          <w:sz w:val="26"/>
          <w:szCs w:val="26"/>
          <w:shd w:val="clear" w:color="auto" w:fill="FFFFFF"/>
        </w:rPr>
        <w:t>среди них:</w:t>
      </w:r>
    </w:p>
    <w:p w:rsidR="005F08DE" w:rsidRPr="005F08DE" w:rsidRDefault="005F08DE" w:rsidP="001A2EDC">
      <w:pPr>
        <w:shd w:val="clear" w:color="auto" w:fill="FFFFFF"/>
        <w:ind w:firstLine="539"/>
        <w:jc w:val="both"/>
        <w:rPr>
          <w:color w:val="000000"/>
          <w:sz w:val="26"/>
          <w:szCs w:val="26"/>
          <w:shd w:val="clear" w:color="auto" w:fill="FFFFFF"/>
        </w:rPr>
      </w:pPr>
      <w:r w:rsidRPr="005F08DE">
        <w:rPr>
          <w:color w:val="000000"/>
          <w:sz w:val="26"/>
          <w:szCs w:val="26"/>
          <w:shd w:val="clear" w:color="auto" w:fill="FFFFFF"/>
        </w:rPr>
        <w:t>- количество участников мероприятий, направленных на укрепление общероссийского гражданского единства – 568,717 тыс. чел.;</w:t>
      </w:r>
    </w:p>
    <w:p w:rsidR="008B4399" w:rsidRPr="005F08DE" w:rsidRDefault="005F08DE" w:rsidP="005F08DE">
      <w:pPr>
        <w:shd w:val="clear" w:color="auto" w:fill="FFFFFF"/>
        <w:ind w:firstLine="539"/>
        <w:jc w:val="both"/>
        <w:rPr>
          <w:color w:val="000000"/>
          <w:sz w:val="26"/>
          <w:szCs w:val="26"/>
          <w:shd w:val="clear" w:color="auto" w:fill="FFFFFF"/>
        </w:rPr>
      </w:pPr>
      <w:r w:rsidRPr="005F08DE">
        <w:rPr>
          <w:color w:val="000000"/>
          <w:sz w:val="26"/>
          <w:szCs w:val="26"/>
          <w:shd w:val="clear" w:color="auto" w:fill="FFFFFF"/>
        </w:rPr>
        <w:t>- численность участников мероприятий, направленных на этнокультурное развитие народов России – 211,82 тыс. чел.</w:t>
      </w:r>
      <w:r w:rsidR="004554E7" w:rsidRPr="005F08DE">
        <w:rPr>
          <w:color w:val="000000"/>
          <w:sz w:val="26"/>
          <w:szCs w:val="26"/>
          <w:shd w:val="clear" w:color="auto" w:fill="FFFFFF"/>
        </w:rPr>
        <w:t xml:space="preserve"> </w:t>
      </w:r>
    </w:p>
    <w:p w:rsidR="005F08DE" w:rsidRDefault="005F08DE" w:rsidP="005F08DE">
      <w:pPr>
        <w:shd w:val="clear" w:color="auto" w:fill="FFFFFF"/>
        <w:ind w:firstLine="539"/>
        <w:jc w:val="both"/>
        <w:rPr>
          <w:sz w:val="26"/>
          <w:szCs w:val="26"/>
        </w:rPr>
      </w:pPr>
      <w:r>
        <w:rPr>
          <w:sz w:val="26"/>
          <w:szCs w:val="26"/>
        </w:rPr>
        <w:t>М</w:t>
      </w:r>
      <w:r w:rsidRPr="005F08DE">
        <w:rPr>
          <w:sz w:val="26"/>
          <w:szCs w:val="26"/>
        </w:rPr>
        <w:t>ероприяти</w:t>
      </w:r>
      <w:r>
        <w:rPr>
          <w:sz w:val="26"/>
          <w:szCs w:val="26"/>
        </w:rPr>
        <w:t>я</w:t>
      </w:r>
      <w:r w:rsidRPr="005F08DE">
        <w:rPr>
          <w:sz w:val="26"/>
          <w:szCs w:val="26"/>
        </w:rPr>
        <w:t xml:space="preserve"> приводи</w:t>
      </w:r>
      <w:r>
        <w:rPr>
          <w:sz w:val="26"/>
          <w:szCs w:val="26"/>
        </w:rPr>
        <w:t>лись</w:t>
      </w:r>
      <w:r w:rsidRPr="005F08DE">
        <w:rPr>
          <w:sz w:val="26"/>
          <w:szCs w:val="26"/>
        </w:rPr>
        <w:t xml:space="preserve"> в соответствии с детализированным перечнем мероприятий, взаимоувязанных по срокам и объемам финансирования, реализуемых в 2017 году в рамках исполнения Соглашения от 18 февраля 2017 года № 380-08-060, дополнительного соглашения от 28 декабря 2017 года № 380-08-060/1 между Федеральным агентством по делам национальностей и Правительством Удмуртской Республики о предоставлении субсидии бюджету Удмуртской Республики из федерального бюджета.</w:t>
      </w:r>
    </w:p>
    <w:p w:rsidR="005F08DE" w:rsidRDefault="005F08DE" w:rsidP="005F08DE">
      <w:pPr>
        <w:shd w:val="clear" w:color="auto" w:fill="FFFFFF"/>
        <w:ind w:firstLine="539"/>
        <w:jc w:val="both"/>
        <w:rPr>
          <w:sz w:val="26"/>
          <w:szCs w:val="26"/>
        </w:rPr>
      </w:pPr>
      <w:r>
        <w:rPr>
          <w:sz w:val="26"/>
          <w:szCs w:val="26"/>
        </w:rPr>
        <w:t>Среди мероприятий с наибольшим охватом населения следует отметить следующие:</w:t>
      </w:r>
    </w:p>
    <w:p w:rsidR="005F08DE" w:rsidRDefault="005F08DE" w:rsidP="005F08DE">
      <w:pPr>
        <w:shd w:val="clear" w:color="auto" w:fill="FFFFFF"/>
        <w:ind w:firstLine="539"/>
        <w:jc w:val="both"/>
        <w:rPr>
          <w:sz w:val="26"/>
          <w:szCs w:val="26"/>
        </w:rPr>
      </w:pPr>
      <w:r w:rsidRPr="005F08DE">
        <w:rPr>
          <w:sz w:val="26"/>
          <w:szCs w:val="26"/>
        </w:rPr>
        <w:t xml:space="preserve">1.1. </w:t>
      </w:r>
      <w:r>
        <w:rPr>
          <w:sz w:val="26"/>
          <w:szCs w:val="26"/>
        </w:rPr>
        <w:t>м</w:t>
      </w:r>
      <w:r w:rsidRPr="005F08DE">
        <w:rPr>
          <w:sz w:val="26"/>
          <w:szCs w:val="26"/>
        </w:rPr>
        <w:t>ониторинг ситуации в сфере этноконфессиональных отношений в Удмуртской Республике. Проведение социологических исследований с целью определения состояния и тенденций в сфере межнациональных и межконфессиональных отношений, а также выявления уровня конфликтогенности и конфликтогенных факторов</w:t>
      </w:r>
      <w:r>
        <w:rPr>
          <w:sz w:val="26"/>
          <w:szCs w:val="26"/>
        </w:rPr>
        <w:t xml:space="preserve"> – 1200 чел.;</w:t>
      </w:r>
    </w:p>
    <w:p w:rsidR="005F08DE" w:rsidRDefault="005F08DE" w:rsidP="005F08DE">
      <w:pPr>
        <w:shd w:val="clear" w:color="auto" w:fill="FFFFFF"/>
        <w:ind w:firstLine="539"/>
        <w:jc w:val="both"/>
        <w:rPr>
          <w:sz w:val="26"/>
          <w:szCs w:val="26"/>
        </w:rPr>
      </w:pPr>
      <w:r>
        <w:rPr>
          <w:sz w:val="26"/>
          <w:szCs w:val="26"/>
        </w:rPr>
        <w:t>1.2. п</w:t>
      </w:r>
      <w:r w:rsidRPr="005F08DE">
        <w:rPr>
          <w:sz w:val="26"/>
          <w:szCs w:val="26"/>
        </w:rPr>
        <w:t>роведение выездных обучающих семинаров для муниципальных служащих и руководителей учреждений и организаций образования, культуры, молодежной политики и спорта</w:t>
      </w:r>
      <w:r>
        <w:rPr>
          <w:sz w:val="26"/>
          <w:szCs w:val="26"/>
        </w:rPr>
        <w:t xml:space="preserve"> – 377 чел.;</w:t>
      </w:r>
    </w:p>
    <w:p w:rsidR="005F08DE" w:rsidRDefault="005F08DE" w:rsidP="005F08DE">
      <w:pPr>
        <w:shd w:val="clear" w:color="auto" w:fill="FFFFFF"/>
        <w:ind w:firstLine="539"/>
        <w:jc w:val="both"/>
        <w:rPr>
          <w:sz w:val="26"/>
          <w:szCs w:val="26"/>
        </w:rPr>
      </w:pPr>
      <w:r w:rsidRPr="005F08DE">
        <w:rPr>
          <w:sz w:val="26"/>
          <w:szCs w:val="26"/>
        </w:rPr>
        <w:t xml:space="preserve">1.3. </w:t>
      </w:r>
      <w:r>
        <w:rPr>
          <w:sz w:val="26"/>
          <w:szCs w:val="26"/>
        </w:rPr>
        <w:t>п</w:t>
      </w:r>
      <w:r w:rsidRPr="005F08DE">
        <w:rPr>
          <w:sz w:val="26"/>
          <w:szCs w:val="26"/>
        </w:rPr>
        <w:t>роведение удмуртского национального праздника «Гербер» в Москве</w:t>
      </w:r>
      <w:r>
        <w:rPr>
          <w:sz w:val="26"/>
          <w:szCs w:val="26"/>
        </w:rPr>
        <w:t xml:space="preserve"> – 12820 чел.;</w:t>
      </w:r>
    </w:p>
    <w:p w:rsidR="005F08DE" w:rsidRDefault="005F08DE" w:rsidP="005F08DE">
      <w:pPr>
        <w:shd w:val="clear" w:color="auto" w:fill="FFFFFF"/>
        <w:ind w:firstLine="539"/>
        <w:jc w:val="both"/>
        <w:rPr>
          <w:sz w:val="26"/>
          <w:szCs w:val="26"/>
        </w:rPr>
      </w:pPr>
      <w:r>
        <w:rPr>
          <w:sz w:val="26"/>
          <w:szCs w:val="26"/>
        </w:rPr>
        <w:t>1.4. международная</w:t>
      </w:r>
      <w:r w:rsidRPr="005F08DE">
        <w:rPr>
          <w:sz w:val="26"/>
          <w:szCs w:val="26"/>
        </w:rPr>
        <w:t xml:space="preserve"> культурно-просветительская акция «Большой этнографический диктант»</w:t>
      </w:r>
      <w:r>
        <w:rPr>
          <w:sz w:val="26"/>
          <w:szCs w:val="26"/>
        </w:rPr>
        <w:t xml:space="preserve"> – 367 000 чел.;</w:t>
      </w:r>
    </w:p>
    <w:p w:rsidR="005F08DE" w:rsidRDefault="005F08DE" w:rsidP="005F08DE">
      <w:pPr>
        <w:shd w:val="clear" w:color="auto" w:fill="FFFFFF"/>
        <w:ind w:firstLine="539"/>
        <w:jc w:val="both"/>
        <w:rPr>
          <w:sz w:val="26"/>
          <w:szCs w:val="26"/>
        </w:rPr>
      </w:pPr>
      <w:r>
        <w:rPr>
          <w:sz w:val="26"/>
          <w:szCs w:val="26"/>
        </w:rPr>
        <w:lastRenderedPageBreak/>
        <w:t>1.5. с</w:t>
      </w:r>
      <w:r w:rsidRPr="005F08DE">
        <w:rPr>
          <w:sz w:val="26"/>
          <w:szCs w:val="26"/>
        </w:rPr>
        <w:t>оциальная реклама единства российской нации и ценности добрососедских межэтнических отношений</w:t>
      </w:r>
      <w:r>
        <w:rPr>
          <w:sz w:val="26"/>
          <w:szCs w:val="26"/>
        </w:rPr>
        <w:t xml:space="preserve"> – </w:t>
      </w:r>
      <w:r w:rsidRPr="005F08DE">
        <w:rPr>
          <w:sz w:val="26"/>
          <w:szCs w:val="26"/>
        </w:rPr>
        <w:t>200 000 человек</w:t>
      </w:r>
      <w:r>
        <w:rPr>
          <w:sz w:val="26"/>
          <w:szCs w:val="26"/>
        </w:rPr>
        <w:t>;</w:t>
      </w:r>
    </w:p>
    <w:p w:rsidR="005F08DE" w:rsidRDefault="005F08DE" w:rsidP="005F08DE">
      <w:pPr>
        <w:shd w:val="clear" w:color="auto" w:fill="FFFFFF"/>
        <w:ind w:firstLine="539"/>
        <w:jc w:val="both"/>
        <w:rPr>
          <w:sz w:val="26"/>
          <w:szCs w:val="26"/>
        </w:rPr>
      </w:pPr>
      <w:r w:rsidRPr="005F08DE">
        <w:rPr>
          <w:sz w:val="26"/>
          <w:szCs w:val="26"/>
        </w:rPr>
        <w:t xml:space="preserve">1.6. </w:t>
      </w:r>
      <w:r>
        <w:rPr>
          <w:sz w:val="26"/>
          <w:szCs w:val="26"/>
        </w:rPr>
        <w:t>м</w:t>
      </w:r>
      <w:r w:rsidRPr="005F08DE">
        <w:rPr>
          <w:sz w:val="26"/>
          <w:szCs w:val="26"/>
        </w:rPr>
        <w:t>ежрегиональный этногастрономический фестиваль блюд пельменного типа, существующих в кухне народов России и СНГ, «Всемирный день пельменя»</w:t>
      </w:r>
      <w:r>
        <w:rPr>
          <w:sz w:val="26"/>
          <w:szCs w:val="26"/>
        </w:rPr>
        <w:t xml:space="preserve"> </w:t>
      </w:r>
      <w:r w:rsidR="00AA6C3A">
        <w:rPr>
          <w:sz w:val="26"/>
          <w:szCs w:val="26"/>
        </w:rPr>
        <w:t>–</w:t>
      </w:r>
      <w:r>
        <w:rPr>
          <w:sz w:val="26"/>
          <w:szCs w:val="26"/>
        </w:rPr>
        <w:t xml:space="preserve"> 35 000 чел.;</w:t>
      </w:r>
    </w:p>
    <w:p w:rsidR="005F08DE" w:rsidRDefault="005F08DE" w:rsidP="005F08DE">
      <w:pPr>
        <w:shd w:val="clear" w:color="auto" w:fill="FFFFFF"/>
        <w:ind w:firstLine="539"/>
        <w:jc w:val="both"/>
        <w:rPr>
          <w:sz w:val="26"/>
          <w:szCs w:val="26"/>
        </w:rPr>
      </w:pPr>
      <w:r w:rsidRPr="005F08DE">
        <w:rPr>
          <w:sz w:val="26"/>
          <w:szCs w:val="26"/>
        </w:rPr>
        <w:t xml:space="preserve">1.7. </w:t>
      </w:r>
      <w:r>
        <w:rPr>
          <w:sz w:val="26"/>
          <w:szCs w:val="26"/>
        </w:rPr>
        <w:t>м</w:t>
      </w:r>
      <w:r w:rsidRPr="005F08DE">
        <w:rPr>
          <w:sz w:val="26"/>
          <w:szCs w:val="26"/>
        </w:rPr>
        <w:t>ежрегиональные учебные сессии многонационального молодежного образовательного центра «Вместе»</w:t>
      </w:r>
      <w:r>
        <w:rPr>
          <w:sz w:val="26"/>
          <w:szCs w:val="26"/>
        </w:rPr>
        <w:t xml:space="preserve"> </w:t>
      </w:r>
      <w:r w:rsidR="00AA6C3A">
        <w:rPr>
          <w:sz w:val="26"/>
          <w:szCs w:val="26"/>
        </w:rPr>
        <w:t>–</w:t>
      </w:r>
      <w:r>
        <w:rPr>
          <w:sz w:val="26"/>
          <w:szCs w:val="26"/>
        </w:rPr>
        <w:t xml:space="preserve"> 140 чел.;</w:t>
      </w:r>
    </w:p>
    <w:p w:rsidR="005F08DE" w:rsidRDefault="005F08DE" w:rsidP="005F08DE">
      <w:pPr>
        <w:shd w:val="clear" w:color="auto" w:fill="FFFFFF"/>
        <w:ind w:firstLine="539"/>
        <w:jc w:val="both"/>
        <w:rPr>
          <w:sz w:val="26"/>
          <w:szCs w:val="26"/>
        </w:rPr>
      </w:pPr>
      <w:r w:rsidRPr="005F08DE">
        <w:rPr>
          <w:sz w:val="26"/>
          <w:szCs w:val="26"/>
        </w:rPr>
        <w:t xml:space="preserve">1.8. </w:t>
      </w:r>
      <w:r>
        <w:rPr>
          <w:sz w:val="26"/>
          <w:szCs w:val="26"/>
        </w:rPr>
        <w:t>международный ф</w:t>
      </w:r>
      <w:r w:rsidRPr="005F08DE">
        <w:rPr>
          <w:sz w:val="26"/>
          <w:szCs w:val="26"/>
        </w:rPr>
        <w:t>инно-угорский фестиваль молодежной этнокультуры «Палэзян»</w:t>
      </w:r>
      <w:r>
        <w:rPr>
          <w:sz w:val="26"/>
          <w:szCs w:val="26"/>
        </w:rPr>
        <w:t xml:space="preserve"> </w:t>
      </w:r>
      <w:r w:rsidR="00AA6C3A">
        <w:rPr>
          <w:sz w:val="26"/>
          <w:szCs w:val="26"/>
        </w:rPr>
        <w:t>–</w:t>
      </w:r>
      <w:r>
        <w:rPr>
          <w:sz w:val="26"/>
          <w:szCs w:val="26"/>
        </w:rPr>
        <w:t xml:space="preserve"> 2000 чел.;</w:t>
      </w:r>
    </w:p>
    <w:p w:rsidR="005F08DE" w:rsidRDefault="005F08DE" w:rsidP="005F08DE">
      <w:pPr>
        <w:shd w:val="clear" w:color="auto" w:fill="FFFFFF"/>
        <w:ind w:firstLine="539"/>
        <w:jc w:val="both"/>
        <w:rPr>
          <w:sz w:val="26"/>
          <w:szCs w:val="26"/>
        </w:rPr>
      </w:pPr>
      <w:r>
        <w:rPr>
          <w:sz w:val="26"/>
          <w:szCs w:val="26"/>
        </w:rPr>
        <w:t>1.9. т</w:t>
      </w:r>
      <w:r w:rsidRPr="005F08DE">
        <w:rPr>
          <w:sz w:val="26"/>
          <w:szCs w:val="26"/>
        </w:rPr>
        <w:t>елевизионные проекты в сфере изучения удмуртского языка</w:t>
      </w:r>
      <w:r>
        <w:rPr>
          <w:sz w:val="26"/>
          <w:szCs w:val="26"/>
        </w:rPr>
        <w:t xml:space="preserve"> – </w:t>
      </w:r>
      <w:r w:rsidRPr="005F08DE">
        <w:rPr>
          <w:sz w:val="26"/>
          <w:szCs w:val="26"/>
        </w:rPr>
        <w:t>160 тысяч человек</w:t>
      </w:r>
      <w:r>
        <w:rPr>
          <w:sz w:val="26"/>
          <w:szCs w:val="26"/>
        </w:rPr>
        <w:t>.</w:t>
      </w:r>
    </w:p>
    <w:p w:rsidR="00AA6C3A" w:rsidRDefault="008B4399" w:rsidP="00AA6C3A">
      <w:pPr>
        <w:shd w:val="clear" w:color="auto" w:fill="FFFFFF"/>
        <w:ind w:firstLine="539"/>
        <w:jc w:val="both"/>
        <w:rPr>
          <w:color w:val="000000"/>
          <w:sz w:val="26"/>
          <w:szCs w:val="26"/>
          <w:shd w:val="clear" w:color="auto" w:fill="FFFFFF"/>
        </w:rPr>
      </w:pPr>
      <w:r w:rsidRPr="008B4399">
        <w:rPr>
          <w:b/>
          <w:color w:val="000000"/>
          <w:sz w:val="26"/>
          <w:szCs w:val="26"/>
          <w:shd w:val="clear" w:color="auto" w:fill="FFFFFF"/>
        </w:rPr>
        <w:t>Доля государственных гражданских и муниципальных служащих, прошедших курсы повышения квалификации по вопросам национальных отношений и миграционной политике</w:t>
      </w:r>
      <w:r>
        <w:rPr>
          <w:b/>
          <w:color w:val="000000"/>
          <w:sz w:val="26"/>
          <w:szCs w:val="26"/>
          <w:shd w:val="clear" w:color="auto" w:fill="FFFFFF"/>
        </w:rPr>
        <w:t xml:space="preserve"> </w:t>
      </w:r>
      <w:r>
        <w:rPr>
          <w:color w:val="000000"/>
          <w:sz w:val="26"/>
          <w:szCs w:val="26"/>
          <w:shd w:val="clear" w:color="auto" w:fill="FFFFFF"/>
        </w:rPr>
        <w:t xml:space="preserve">составила </w:t>
      </w:r>
      <w:r w:rsidR="005F08DE">
        <w:rPr>
          <w:b/>
          <w:color w:val="000000"/>
          <w:sz w:val="26"/>
          <w:szCs w:val="26"/>
          <w:shd w:val="clear" w:color="auto" w:fill="FFFFFF"/>
        </w:rPr>
        <w:t>33,83</w:t>
      </w:r>
      <w:r w:rsidRPr="00413968">
        <w:rPr>
          <w:b/>
          <w:color w:val="000000"/>
          <w:sz w:val="26"/>
          <w:szCs w:val="26"/>
          <w:shd w:val="clear" w:color="auto" w:fill="FFFFFF"/>
        </w:rPr>
        <w:t xml:space="preserve"> %</w:t>
      </w:r>
      <w:r>
        <w:rPr>
          <w:color w:val="000000"/>
          <w:sz w:val="26"/>
          <w:szCs w:val="26"/>
          <w:shd w:val="clear" w:color="auto" w:fill="FFFFFF"/>
        </w:rPr>
        <w:t xml:space="preserve"> (план – 2</w:t>
      </w:r>
      <w:r w:rsidR="005F08DE">
        <w:rPr>
          <w:color w:val="000000"/>
          <w:sz w:val="26"/>
          <w:szCs w:val="26"/>
          <w:shd w:val="clear" w:color="auto" w:fill="FFFFFF"/>
        </w:rPr>
        <w:t>9</w:t>
      </w:r>
      <w:r>
        <w:rPr>
          <w:color w:val="000000"/>
          <w:sz w:val="26"/>
          <w:szCs w:val="26"/>
          <w:shd w:val="clear" w:color="auto" w:fill="FFFFFF"/>
        </w:rPr>
        <w:t>,</w:t>
      </w:r>
      <w:r w:rsidR="005F08DE">
        <w:rPr>
          <w:color w:val="000000"/>
          <w:sz w:val="26"/>
          <w:szCs w:val="26"/>
          <w:shd w:val="clear" w:color="auto" w:fill="FFFFFF"/>
        </w:rPr>
        <w:t>8</w:t>
      </w:r>
      <w:r>
        <w:rPr>
          <w:color w:val="000000"/>
          <w:sz w:val="26"/>
          <w:szCs w:val="26"/>
          <w:shd w:val="clear" w:color="auto" w:fill="FFFFFF"/>
        </w:rPr>
        <w:t xml:space="preserve"> %) от общего количества государственных и муниципальных гражданских служащих, действующих на территории Удмуртской Республики.</w:t>
      </w:r>
    </w:p>
    <w:p w:rsidR="00AA6C3A" w:rsidRPr="009D4E66" w:rsidRDefault="00AA6C3A" w:rsidP="00AA6C3A">
      <w:pPr>
        <w:ind w:firstLine="708"/>
        <w:jc w:val="both"/>
        <w:rPr>
          <w:sz w:val="26"/>
          <w:szCs w:val="26"/>
        </w:rPr>
      </w:pPr>
      <w:r>
        <w:rPr>
          <w:sz w:val="26"/>
          <w:szCs w:val="26"/>
        </w:rPr>
        <w:t xml:space="preserve">В 2017 году </w:t>
      </w:r>
      <w:r w:rsidRPr="009D4E66">
        <w:rPr>
          <w:sz w:val="26"/>
          <w:szCs w:val="26"/>
        </w:rPr>
        <w:t>по заказу Миннаца</w:t>
      </w:r>
      <w:r>
        <w:rPr>
          <w:sz w:val="26"/>
          <w:szCs w:val="26"/>
        </w:rPr>
        <w:t xml:space="preserve"> Удмуртии</w:t>
      </w:r>
      <w:r w:rsidRPr="009D4E66">
        <w:rPr>
          <w:sz w:val="26"/>
          <w:szCs w:val="26"/>
        </w:rPr>
        <w:t xml:space="preserve"> Ижевским филиалом Российской академии народного хозяйства и государственной службы при Президенте Российской Федерации </w:t>
      </w:r>
      <w:r>
        <w:rPr>
          <w:sz w:val="26"/>
          <w:szCs w:val="26"/>
        </w:rPr>
        <w:t>организовано</w:t>
      </w:r>
      <w:r w:rsidRPr="009D4E66">
        <w:rPr>
          <w:sz w:val="26"/>
          <w:szCs w:val="26"/>
        </w:rPr>
        <w:t xml:space="preserve"> обучение </w:t>
      </w:r>
      <w:r w:rsidRPr="00B109D3">
        <w:rPr>
          <w:sz w:val="26"/>
          <w:szCs w:val="26"/>
        </w:rPr>
        <w:t>для муниципальных служащих и руководителей учреждений и организаций образования, культуры, молодежной политики и спорта</w:t>
      </w:r>
      <w:r w:rsidRPr="009D4E66">
        <w:rPr>
          <w:sz w:val="26"/>
          <w:szCs w:val="26"/>
        </w:rPr>
        <w:t xml:space="preserve"> по вопросам профилактики экстремизма и ксенофобии на национальной и религиозной почве. В </w:t>
      </w:r>
      <w:r>
        <w:rPr>
          <w:sz w:val="26"/>
          <w:szCs w:val="26"/>
        </w:rPr>
        <w:t>2017</w:t>
      </w:r>
      <w:r w:rsidRPr="009D4E66">
        <w:rPr>
          <w:sz w:val="26"/>
          <w:szCs w:val="26"/>
        </w:rPr>
        <w:t xml:space="preserve"> году </w:t>
      </w:r>
      <w:r>
        <w:rPr>
          <w:sz w:val="26"/>
          <w:szCs w:val="26"/>
        </w:rPr>
        <w:t>подобные</w:t>
      </w:r>
      <w:r w:rsidRPr="009D4E66">
        <w:rPr>
          <w:sz w:val="26"/>
          <w:szCs w:val="26"/>
        </w:rPr>
        <w:t xml:space="preserve"> семинары проведены</w:t>
      </w:r>
      <w:r>
        <w:rPr>
          <w:sz w:val="26"/>
          <w:szCs w:val="26"/>
        </w:rPr>
        <w:t xml:space="preserve"> в 7 муниципальных образованиях для 377 государственных и муниципальных служащих:</w:t>
      </w:r>
      <w:r w:rsidRPr="009D4E66">
        <w:rPr>
          <w:sz w:val="26"/>
          <w:szCs w:val="26"/>
        </w:rPr>
        <w:t xml:space="preserve"> в Балезинском, Глазовском, Граховском, Кезском, Селтинском, Сюмсинском и Якшур-Бодьинском районах.</w:t>
      </w:r>
    </w:p>
    <w:p w:rsidR="00AA6C3A" w:rsidRPr="00672F98" w:rsidRDefault="00AA6C3A" w:rsidP="00AA6C3A">
      <w:pPr>
        <w:shd w:val="clear" w:color="auto" w:fill="FFFFFF"/>
        <w:ind w:firstLine="539"/>
        <w:jc w:val="both"/>
        <w:rPr>
          <w:sz w:val="26"/>
          <w:szCs w:val="26"/>
        </w:rPr>
      </w:pPr>
      <w:r>
        <w:rPr>
          <w:sz w:val="26"/>
          <w:szCs w:val="26"/>
        </w:rPr>
        <w:t xml:space="preserve">Каждый семинар проходил в течение 8 часов по следующим темам: </w:t>
      </w:r>
      <w:r w:rsidRPr="009D4E66">
        <w:rPr>
          <w:sz w:val="26"/>
          <w:szCs w:val="26"/>
        </w:rPr>
        <w:t>«Проблемы профилактики экстремизма и ксенофобии на на</w:t>
      </w:r>
      <w:r>
        <w:rPr>
          <w:sz w:val="26"/>
          <w:szCs w:val="26"/>
        </w:rPr>
        <w:t>циональной и религиозной почве», «</w:t>
      </w:r>
      <w:r w:rsidRPr="009D4E66">
        <w:rPr>
          <w:sz w:val="26"/>
          <w:szCs w:val="26"/>
        </w:rPr>
        <w:t xml:space="preserve">Механизмы противодействия проявлениям ксенофобии национального, расового и религиозного экстремизма и место в нем </w:t>
      </w:r>
      <w:r>
        <w:rPr>
          <w:sz w:val="26"/>
          <w:szCs w:val="26"/>
        </w:rPr>
        <w:t>органов местного самоуправления» и «Г</w:t>
      </w:r>
      <w:r w:rsidRPr="009D4E66">
        <w:rPr>
          <w:sz w:val="26"/>
          <w:szCs w:val="26"/>
        </w:rPr>
        <w:t>осударственная национальная политика Российской Федерации. Теория и практика регулирования межнациональных и межконфессиональных отношений на региональном и муниципальном уровне</w:t>
      </w:r>
      <w:r>
        <w:rPr>
          <w:sz w:val="26"/>
          <w:szCs w:val="26"/>
        </w:rPr>
        <w:t>».</w:t>
      </w:r>
    </w:p>
    <w:p w:rsidR="00AA6C3A" w:rsidRDefault="0062295A" w:rsidP="0062295A">
      <w:pPr>
        <w:ind w:firstLine="567"/>
        <w:jc w:val="both"/>
        <w:rPr>
          <w:sz w:val="26"/>
          <w:szCs w:val="26"/>
        </w:rPr>
      </w:pPr>
      <w:r w:rsidRPr="0062295A">
        <w:rPr>
          <w:b/>
          <w:sz w:val="26"/>
          <w:szCs w:val="26"/>
        </w:rPr>
        <w:t>Количество воскресных школ и курсов изучения родного языка</w:t>
      </w:r>
      <w:r>
        <w:rPr>
          <w:b/>
          <w:sz w:val="26"/>
          <w:szCs w:val="26"/>
        </w:rPr>
        <w:t xml:space="preserve"> </w:t>
      </w:r>
      <w:r w:rsidRPr="0062295A">
        <w:rPr>
          <w:sz w:val="26"/>
          <w:szCs w:val="26"/>
        </w:rPr>
        <w:t xml:space="preserve">составило </w:t>
      </w:r>
      <w:r w:rsidR="00AA6C3A">
        <w:rPr>
          <w:b/>
          <w:sz w:val="26"/>
          <w:szCs w:val="26"/>
        </w:rPr>
        <w:t>39</w:t>
      </w:r>
      <w:r w:rsidRPr="00413968">
        <w:rPr>
          <w:b/>
          <w:sz w:val="26"/>
          <w:szCs w:val="26"/>
        </w:rPr>
        <w:t xml:space="preserve"> ед.</w:t>
      </w:r>
      <w:r w:rsidRPr="0062295A">
        <w:rPr>
          <w:sz w:val="26"/>
          <w:szCs w:val="26"/>
        </w:rPr>
        <w:t xml:space="preserve"> (план – </w:t>
      </w:r>
      <w:r w:rsidR="00AA6C3A">
        <w:rPr>
          <w:sz w:val="26"/>
          <w:szCs w:val="26"/>
        </w:rPr>
        <w:t>39</w:t>
      </w:r>
      <w:r w:rsidRPr="0062295A">
        <w:rPr>
          <w:sz w:val="26"/>
          <w:szCs w:val="26"/>
        </w:rPr>
        <w:t xml:space="preserve"> ед.)</w:t>
      </w:r>
      <w:r>
        <w:rPr>
          <w:sz w:val="26"/>
          <w:szCs w:val="26"/>
        </w:rPr>
        <w:t xml:space="preserve">. </w:t>
      </w:r>
    </w:p>
    <w:p w:rsidR="00AA6C3A" w:rsidRPr="00AA6C3A" w:rsidRDefault="00AA6C3A" w:rsidP="00AA6C3A">
      <w:pPr>
        <w:ind w:firstLine="567"/>
        <w:jc w:val="both"/>
        <w:rPr>
          <w:sz w:val="26"/>
          <w:szCs w:val="26"/>
        </w:rPr>
      </w:pPr>
      <w:r w:rsidRPr="00AA6C3A">
        <w:rPr>
          <w:sz w:val="26"/>
          <w:szCs w:val="26"/>
        </w:rPr>
        <w:t xml:space="preserve">В течение 2017 года на 33 площадках Удмуртской Республики были организованы бесплатные курсы удмуртского языка для всех желающих, на 6 площадках – курсы по изучению татарского языка. Осуществляли свою деятельность армянская, немецкая, азербайджанская и еврейская воскресные школы (за счет собственных средств). </w:t>
      </w:r>
    </w:p>
    <w:p w:rsidR="00AA6C3A" w:rsidRPr="00AA6C3A" w:rsidRDefault="00AA6C3A" w:rsidP="00AA6C3A">
      <w:pPr>
        <w:ind w:firstLine="567"/>
        <w:jc w:val="both"/>
        <w:rPr>
          <w:sz w:val="26"/>
          <w:szCs w:val="26"/>
        </w:rPr>
      </w:pPr>
      <w:r w:rsidRPr="00AA6C3A">
        <w:rPr>
          <w:sz w:val="26"/>
          <w:szCs w:val="26"/>
        </w:rPr>
        <w:t>Всего в 2017 году подобные курсы прошли 859 чел.:</w:t>
      </w:r>
    </w:p>
    <w:p w:rsidR="00AA6C3A" w:rsidRPr="00AA6C3A" w:rsidRDefault="00AA6C3A" w:rsidP="00AA6C3A">
      <w:pPr>
        <w:ind w:firstLine="567"/>
        <w:jc w:val="both"/>
        <w:rPr>
          <w:sz w:val="26"/>
          <w:szCs w:val="26"/>
        </w:rPr>
      </w:pPr>
      <w:r w:rsidRPr="00AA6C3A">
        <w:rPr>
          <w:sz w:val="26"/>
          <w:szCs w:val="26"/>
        </w:rPr>
        <w:t>– курсы удмуртского языка – 537 чел.</w:t>
      </w:r>
    </w:p>
    <w:p w:rsidR="00AA6C3A" w:rsidRPr="00AA6C3A" w:rsidRDefault="00AA6C3A" w:rsidP="00AA6C3A">
      <w:pPr>
        <w:ind w:firstLine="567"/>
        <w:jc w:val="both"/>
        <w:rPr>
          <w:sz w:val="26"/>
          <w:szCs w:val="26"/>
        </w:rPr>
      </w:pPr>
      <w:r w:rsidRPr="00AA6C3A">
        <w:rPr>
          <w:sz w:val="26"/>
          <w:szCs w:val="26"/>
        </w:rPr>
        <w:t xml:space="preserve">– курсы татарского языка – 96 чел. </w:t>
      </w:r>
    </w:p>
    <w:p w:rsidR="00AA6C3A" w:rsidRPr="00AA6C3A" w:rsidRDefault="00AA6C3A" w:rsidP="00AA6C3A">
      <w:pPr>
        <w:ind w:firstLine="567"/>
        <w:jc w:val="both"/>
        <w:rPr>
          <w:sz w:val="26"/>
          <w:szCs w:val="26"/>
        </w:rPr>
      </w:pPr>
      <w:r w:rsidRPr="00AA6C3A">
        <w:rPr>
          <w:sz w:val="26"/>
          <w:szCs w:val="26"/>
        </w:rPr>
        <w:t xml:space="preserve">– армянская воскресная школа – 83 чел. </w:t>
      </w:r>
    </w:p>
    <w:p w:rsidR="00AA6C3A" w:rsidRPr="00AA6C3A" w:rsidRDefault="00AA6C3A" w:rsidP="00AA6C3A">
      <w:pPr>
        <w:ind w:firstLine="567"/>
        <w:jc w:val="both"/>
        <w:rPr>
          <w:sz w:val="26"/>
          <w:szCs w:val="26"/>
        </w:rPr>
      </w:pPr>
      <w:r w:rsidRPr="00AA6C3A">
        <w:rPr>
          <w:sz w:val="26"/>
          <w:szCs w:val="26"/>
        </w:rPr>
        <w:t xml:space="preserve">– азербайджанская воскресная школа – 63 чел. </w:t>
      </w:r>
    </w:p>
    <w:p w:rsidR="00AA6C3A" w:rsidRPr="00AA6C3A" w:rsidRDefault="00AA6C3A" w:rsidP="00AA6C3A">
      <w:pPr>
        <w:ind w:firstLine="567"/>
        <w:jc w:val="both"/>
        <w:rPr>
          <w:sz w:val="26"/>
          <w:szCs w:val="26"/>
        </w:rPr>
      </w:pPr>
      <w:r w:rsidRPr="00AA6C3A">
        <w:rPr>
          <w:sz w:val="26"/>
          <w:szCs w:val="26"/>
        </w:rPr>
        <w:t xml:space="preserve">– воскресная еврейская школа – 50 чел. </w:t>
      </w:r>
    </w:p>
    <w:p w:rsidR="00AA6C3A" w:rsidRPr="00AA6C3A" w:rsidRDefault="00AA6C3A" w:rsidP="00AA6C3A">
      <w:pPr>
        <w:ind w:firstLine="567"/>
        <w:jc w:val="both"/>
        <w:rPr>
          <w:sz w:val="26"/>
          <w:szCs w:val="26"/>
        </w:rPr>
      </w:pPr>
      <w:r w:rsidRPr="00AA6C3A">
        <w:rPr>
          <w:sz w:val="26"/>
          <w:szCs w:val="26"/>
        </w:rPr>
        <w:t>– немецкая воскресная школа – 30 чел.</w:t>
      </w:r>
    </w:p>
    <w:p w:rsidR="00AA6C3A" w:rsidRDefault="00AA6C3A" w:rsidP="0062295A">
      <w:pPr>
        <w:ind w:firstLine="567"/>
        <w:jc w:val="both"/>
        <w:rPr>
          <w:b/>
          <w:sz w:val="26"/>
          <w:szCs w:val="26"/>
        </w:rPr>
      </w:pPr>
    </w:p>
    <w:p w:rsidR="0062295A" w:rsidRDefault="0062295A" w:rsidP="0062295A">
      <w:pPr>
        <w:ind w:firstLine="567"/>
        <w:jc w:val="both"/>
        <w:rPr>
          <w:sz w:val="26"/>
          <w:szCs w:val="26"/>
        </w:rPr>
      </w:pPr>
      <w:r w:rsidRPr="0062295A">
        <w:rPr>
          <w:b/>
          <w:sz w:val="26"/>
          <w:szCs w:val="26"/>
        </w:rPr>
        <w:lastRenderedPageBreak/>
        <w:t xml:space="preserve">Количество оцифрованных и размещенных в сети «Интернет» страниц полнотекстовой web-библиотеки на удмуртском языке </w:t>
      </w:r>
      <w:r>
        <w:rPr>
          <w:sz w:val="26"/>
          <w:szCs w:val="26"/>
        </w:rPr>
        <w:t xml:space="preserve">составило </w:t>
      </w:r>
      <w:r w:rsidR="00AA6C3A">
        <w:rPr>
          <w:b/>
          <w:sz w:val="26"/>
          <w:szCs w:val="26"/>
        </w:rPr>
        <w:t>10,0 тыс.</w:t>
      </w:r>
      <w:r w:rsidRPr="00413968">
        <w:rPr>
          <w:b/>
          <w:sz w:val="26"/>
          <w:szCs w:val="26"/>
        </w:rPr>
        <w:t xml:space="preserve"> стр.</w:t>
      </w:r>
      <w:r>
        <w:rPr>
          <w:sz w:val="26"/>
          <w:szCs w:val="26"/>
        </w:rPr>
        <w:t xml:space="preserve"> (план – 10,0 тыс. стр.)</w:t>
      </w:r>
      <w:r w:rsidRPr="00FA4E6F">
        <w:rPr>
          <w:sz w:val="26"/>
          <w:szCs w:val="26"/>
        </w:rPr>
        <w:t xml:space="preserve"> научных, научно-популярных, учебных, справочных изданий по удмуртскому фольклору, языкознанию, литературоведению и искусству, этнической истории, археологии и этнологии удмуртов, а также литературно-художественных произведений н</w:t>
      </w:r>
      <w:r w:rsidR="001377ED">
        <w:rPr>
          <w:sz w:val="26"/>
          <w:szCs w:val="26"/>
        </w:rPr>
        <w:t>а удмуртском и русском языках).</w:t>
      </w:r>
    </w:p>
    <w:p w:rsidR="00AA6C3A" w:rsidRDefault="00AA6C3A" w:rsidP="0062295A">
      <w:pPr>
        <w:ind w:firstLine="567"/>
        <w:jc w:val="both"/>
        <w:rPr>
          <w:sz w:val="26"/>
          <w:szCs w:val="26"/>
        </w:rPr>
      </w:pPr>
      <w:r w:rsidRPr="00AA6C3A">
        <w:rPr>
          <w:sz w:val="26"/>
          <w:szCs w:val="26"/>
        </w:rPr>
        <w:t>В 2017 году продолжена работа по наполнению полнотекстовой электронной библиотеки «Удмуртская Книга» на официальном сайте Национальной библиотеки Удмуртской Республики: в цифровую форму переведено 76 изданий (10000 стр. научных, научно-популярных, учебных, справочных изданий по удмуртскому фольклору, языкознанию, литературоведению и искусству, этнической истории, археологии и этнологии удмуртов, а также литературно-художественных произведений на удмуртском и русском языках). Кол-во посещений раздела «Удмуртская книга» на сайте Национальной библиотеки Удмуртской Республики в 2017 году составил</w:t>
      </w:r>
      <w:r>
        <w:rPr>
          <w:sz w:val="26"/>
          <w:szCs w:val="26"/>
        </w:rPr>
        <w:t>о</w:t>
      </w:r>
      <w:r w:rsidRPr="00AA6C3A">
        <w:rPr>
          <w:sz w:val="26"/>
          <w:szCs w:val="26"/>
        </w:rPr>
        <w:t xml:space="preserve"> свыше 80 тыс. уникальных пользователей.</w:t>
      </w:r>
    </w:p>
    <w:p w:rsidR="00413968" w:rsidRDefault="00904321" w:rsidP="0062295A">
      <w:pPr>
        <w:ind w:firstLine="567"/>
        <w:jc w:val="both"/>
        <w:rPr>
          <w:sz w:val="26"/>
          <w:szCs w:val="26"/>
        </w:rPr>
      </w:pPr>
      <w:r w:rsidRPr="00904321">
        <w:rPr>
          <w:b/>
          <w:sz w:val="26"/>
          <w:szCs w:val="26"/>
        </w:rPr>
        <w:t>Доля документов, имеющих нарушения по регламентированным срокам исполнения</w:t>
      </w:r>
      <w:r>
        <w:rPr>
          <w:b/>
          <w:sz w:val="26"/>
          <w:szCs w:val="26"/>
        </w:rPr>
        <w:t xml:space="preserve"> </w:t>
      </w:r>
      <w:r>
        <w:rPr>
          <w:sz w:val="26"/>
          <w:szCs w:val="26"/>
        </w:rPr>
        <w:t xml:space="preserve">в Министерстве национальной политики Удмуртской Республике </w:t>
      </w:r>
      <w:r w:rsidR="004F782D">
        <w:rPr>
          <w:sz w:val="26"/>
          <w:szCs w:val="26"/>
        </w:rPr>
        <w:t>не превысило</w:t>
      </w:r>
      <w:r>
        <w:rPr>
          <w:sz w:val="26"/>
          <w:szCs w:val="26"/>
        </w:rPr>
        <w:t xml:space="preserve"> </w:t>
      </w:r>
      <w:r w:rsidRPr="001377ED">
        <w:rPr>
          <w:b/>
          <w:sz w:val="26"/>
          <w:szCs w:val="26"/>
        </w:rPr>
        <w:t>1 %</w:t>
      </w:r>
      <w:r>
        <w:rPr>
          <w:sz w:val="26"/>
          <w:szCs w:val="26"/>
        </w:rPr>
        <w:t>, что соответствует плановым значениям.</w:t>
      </w:r>
    </w:p>
    <w:p w:rsidR="00904321" w:rsidRDefault="00904321" w:rsidP="0062295A">
      <w:pPr>
        <w:ind w:firstLine="567"/>
        <w:jc w:val="both"/>
        <w:rPr>
          <w:sz w:val="26"/>
          <w:szCs w:val="26"/>
        </w:rPr>
      </w:pPr>
      <w:r>
        <w:rPr>
          <w:sz w:val="26"/>
          <w:szCs w:val="26"/>
        </w:rPr>
        <w:t xml:space="preserve">Таким образом, </w:t>
      </w:r>
      <w:r w:rsidR="001377ED" w:rsidRPr="001377ED">
        <w:rPr>
          <w:b/>
          <w:sz w:val="26"/>
          <w:szCs w:val="26"/>
        </w:rPr>
        <w:t>у</w:t>
      </w:r>
      <w:r w:rsidRPr="001377ED">
        <w:rPr>
          <w:b/>
          <w:sz w:val="26"/>
          <w:szCs w:val="26"/>
        </w:rPr>
        <w:t>ровень выполнения значений целевых показателей (индикаторов) государственной программы</w:t>
      </w:r>
      <w:r>
        <w:rPr>
          <w:sz w:val="26"/>
          <w:szCs w:val="26"/>
        </w:rPr>
        <w:t xml:space="preserve"> Удмуртской Республики «Этносоциальное развитие и гармонизация ме</w:t>
      </w:r>
      <w:r w:rsidR="004F782D">
        <w:rPr>
          <w:sz w:val="26"/>
          <w:szCs w:val="26"/>
        </w:rPr>
        <w:t>жэтнических отношений» составил</w:t>
      </w:r>
      <w:r>
        <w:rPr>
          <w:sz w:val="26"/>
          <w:szCs w:val="26"/>
        </w:rPr>
        <w:t xml:space="preserve"> по итогам 201</w:t>
      </w:r>
      <w:r w:rsidR="00AA6C3A">
        <w:rPr>
          <w:sz w:val="26"/>
          <w:szCs w:val="26"/>
        </w:rPr>
        <w:t>7</w:t>
      </w:r>
      <w:r>
        <w:rPr>
          <w:sz w:val="26"/>
          <w:szCs w:val="26"/>
        </w:rPr>
        <w:t xml:space="preserve"> года </w:t>
      </w:r>
      <w:r w:rsidR="00AA6C3A">
        <w:rPr>
          <w:b/>
          <w:sz w:val="26"/>
          <w:szCs w:val="26"/>
        </w:rPr>
        <w:t>100</w:t>
      </w:r>
      <w:r w:rsidRPr="001377ED">
        <w:rPr>
          <w:b/>
          <w:sz w:val="26"/>
          <w:szCs w:val="26"/>
        </w:rPr>
        <w:t xml:space="preserve"> %,</w:t>
      </w:r>
      <w:r w:rsidR="00AA6C3A">
        <w:rPr>
          <w:sz w:val="26"/>
          <w:szCs w:val="26"/>
        </w:rPr>
        <w:t xml:space="preserve"> все показатели эффективности государственной программы достигнуты.</w:t>
      </w:r>
    </w:p>
    <w:p w:rsidR="00AA6C3A" w:rsidRDefault="00AA6C3A" w:rsidP="0062295A">
      <w:pPr>
        <w:ind w:firstLine="567"/>
        <w:jc w:val="both"/>
        <w:rPr>
          <w:b/>
          <w:sz w:val="26"/>
          <w:szCs w:val="26"/>
        </w:rPr>
      </w:pPr>
    </w:p>
    <w:p w:rsidR="00904321" w:rsidRDefault="00904321" w:rsidP="0062295A">
      <w:pPr>
        <w:ind w:firstLine="567"/>
        <w:jc w:val="both"/>
        <w:rPr>
          <w:b/>
          <w:sz w:val="26"/>
          <w:szCs w:val="26"/>
        </w:rPr>
      </w:pPr>
      <w:r w:rsidRPr="00904321">
        <w:rPr>
          <w:b/>
          <w:sz w:val="26"/>
          <w:szCs w:val="26"/>
        </w:rPr>
        <w:t>Оценка эффективности реализации</w:t>
      </w:r>
      <w:r>
        <w:rPr>
          <w:b/>
          <w:sz w:val="26"/>
          <w:szCs w:val="26"/>
        </w:rPr>
        <w:t xml:space="preserve"> государственной программы Удмуртской Республики «Этносоциальное развитие и гармонизация межэтнических отношений»</w:t>
      </w:r>
    </w:p>
    <w:p w:rsidR="0062295A" w:rsidRDefault="00904321" w:rsidP="0062295A">
      <w:pPr>
        <w:ind w:firstLine="567"/>
        <w:jc w:val="both"/>
        <w:rPr>
          <w:sz w:val="26"/>
          <w:szCs w:val="26"/>
        </w:rPr>
      </w:pPr>
      <w:r w:rsidRPr="00904321">
        <w:rPr>
          <w:sz w:val="26"/>
          <w:szCs w:val="26"/>
        </w:rPr>
        <w:t>Степень достижения плановых значений целевых показателей (индикаторов) государс</w:t>
      </w:r>
      <w:r>
        <w:rPr>
          <w:sz w:val="26"/>
          <w:szCs w:val="26"/>
        </w:rPr>
        <w:t xml:space="preserve">твенной программы в целом составила </w:t>
      </w:r>
      <w:r w:rsidR="00AA6C3A">
        <w:rPr>
          <w:sz w:val="26"/>
          <w:szCs w:val="26"/>
        </w:rPr>
        <w:t>1,0</w:t>
      </w:r>
      <w:r>
        <w:rPr>
          <w:sz w:val="26"/>
          <w:szCs w:val="26"/>
        </w:rPr>
        <w:t>.</w:t>
      </w:r>
    </w:p>
    <w:p w:rsidR="00904321" w:rsidRDefault="00904321" w:rsidP="0062295A">
      <w:pPr>
        <w:ind w:firstLine="567"/>
        <w:jc w:val="both"/>
        <w:rPr>
          <w:sz w:val="26"/>
          <w:szCs w:val="26"/>
        </w:rPr>
      </w:pPr>
      <w:r w:rsidRPr="00904321">
        <w:rPr>
          <w:sz w:val="26"/>
          <w:szCs w:val="26"/>
        </w:rPr>
        <w:t>В 2016 году было запланировано 10 совокупных мероприятий, предусматривающих достижение к</w:t>
      </w:r>
      <w:r>
        <w:rPr>
          <w:sz w:val="26"/>
          <w:szCs w:val="26"/>
        </w:rPr>
        <w:t>ачественного результата, из которых все 10 было исполнены.</w:t>
      </w:r>
    </w:p>
    <w:p w:rsidR="00904321" w:rsidRDefault="00904321" w:rsidP="0062295A">
      <w:pPr>
        <w:ind w:firstLine="567"/>
        <w:jc w:val="both"/>
        <w:rPr>
          <w:sz w:val="26"/>
          <w:szCs w:val="26"/>
        </w:rPr>
      </w:pPr>
      <w:r w:rsidRPr="00904321">
        <w:rPr>
          <w:sz w:val="26"/>
          <w:szCs w:val="26"/>
        </w:rPr>
        <w:t>Эффективность использования средств бюджета Удмуртской Республики при реализации государственной программы</w:t>
      </w:r>
      <w:r>
        <w:rPr>
          <w:sz w:val="26"/>
          <w:szCs w:val="26"/>
        </w:rPr>
        <w:t xml:space="preserve"> составила 0,9</w:t>
      </w:r>
      <w:r w:rsidR="00AA6C3A">
        <w:rPr>
          <w:sz w:val="26"/>
          <w:szCs w:val="26"/>
        </w:rPr>
        <w:t>95</w:t>
      </w:r>
      <w:r>
        <w:rPr>
          <w:sz w:val="26"/>
          <w:szCs w:val="26"/>
        </w:rPr>
        <w:t xml:space="preserve">. </w:t>
      </w:r>
      <w:r w:rsidRPr="00904321">
        <w:rPr>
          <w:sz w:val="26"/>
          <w:szCs w:val="26"/>
        </w:rPr>
        <w:t>Согласно методике расчета, утвержденного Министерством экономики Удмуртской Республики, при показателе эффективности использования средств бюджета Удмуртской Республики при реализации государственной программы ниже 1,0, данный показатель принимается за 1,0. Таким образом, эффективность использования средств бюджета Удмуртской Республики при реализации государственной программы «Этносоциальное развитие и гар</w:t>
      </w:r>
      <w:r>
        <w:rPr>
          <w:sz w:val="26"/>
          <w:szCs w:val="26"/>
        </w:rPr>
        <w:t>м</w:t>
      </w:r>
      <w:r w:rsidRPr="00904321">
        <w:rPr>
          <w:sz w:val="26"/>
          <w:szCs w:val="26"/>
        </w:rPr>
        <w:t>онизация межэтнических отношений» равняется 1,0</w:t>
      </w:r>
      <w:r>
        <w:rPr>
          <w:sz w:val="26"/>
          <w:szCs w:val="26"/>
        </w:rPr>
        <w:t>.</w:t>
      </w:r>
    </w:p>
    <w:p w:rsidR="00904321" w:rsidRDefault="00904321" w:rsidP="0062295A">
      <w:pPr>
        <w:ind w:firstLine="567"/>
        <w:jc w:val="both"/>
        <w:rPr>
          <w:sz w:val="26"/>
          <w:szCs w:val="26"/>
        </w:rPr>
      </w:pPr>
      <w:r>
        <w:rPr>
          <w:sz w:val="26"/>
          <w:szCs w:val="26"/>
        </w:rPr>
        <w:t xml:space="preserve">Таким образом, </w:t>
      </w:r>
      <w:r w:rsidR="001377ED">
        <w:rPr>
          <w:sz w:val="26"/>
          <w:szCs w:val="26"/>
        </w:rPr>
        <w:t>э</w:t>
      </w:r>
      <w:r w:rsidRPr="00904321">
        <w:rPr>
          <w:sz w:val="26"/>
          <w:szCs w:val="26"/>
        </w:rPr>
        <w:t>ффективность реализации государственной программы</w:t>
      </w:r>
      <w:r>
        <w:rPr>
          <w:sz w:val="26"/>
          <w:szCs w:val="26"/>
        </w:rPr>
        <w:t xml:space="preserve"> </w:t>
      </w:r>
      <w:r w:rsidR="00A81993">
        <w:rPr>
          <w:sz w:val="26"/>
          <w:szCs w:val="26"/>
        </w:rPr>
        <w:t>рассчитывается по формуле</w:t>
      </w:r>
    </w:p>
    <w:p w:rsidR="00A81993" w:rsidRPr="00672F98" w:rsidRDefault="00A81993" w:rsidP="0062295A">
      <w:pPr>
        <w:ind w:firstLine="567"/>
        <w:jc w:val="both"/>
        <w:rPr>
          <w:sz w:val="26"/>
          <w:szCs w:val="26"/>
        </w:rPr>
      </w:pPr>
    </w:p>
    <w:tbl>
      <w:tblPr>
        <w:tblW w:w="8154" w:type="dxa"/>
        <w:tblInd w:w="93" w:type="dxa"/>
        <w:tblLook w:val="04A0"/>
      </w:tblPr>
      <w:tblGrid>
        <w:gridCol w:w="1035"/>
        <w:gridCol w:w="1035"/>
        <w:gridCol w:w="1035"/>
        <w:gridCol w:w="1035"/>
        <w:gridCol w:w="1035"/>
        <w:gridCol w:w="2979"/>
      </w:tblGrid>
      <w:tr w:rsidR="00904321" w:rsidRPr="00904321" w:rsidTr="00904321">
        <w:trPr>
          <w:trHeight w:val="300"/>
        </w:trPr>
        <w:tc>
          <w:tcPr>
            <w:tcW w:w="5175" w:type="dxa"/>
            <w:gridSpan w:val="5"/>
            <w:tcBorders>
              <w:top w:val="nil"/>
              <w:left w:val="nil"/>
              <w:bottom w:val="nil"/>
              <w:right w:val="nil"/>
            </w:tcBorders>
            <w:shd w:val="clear" w:color="auto" w:fill="auto"/>
            <w:noWrap/>
            <w:vAlign w:val="bottom"/>
            <w:hideMark/>
          </w:tcPr>
          <w:p w:rsidR="00904321" w:rsidRPr="00904321" w:rsidRDefault="00904321" w:rsidP="00904321">
            <w:pPr>
              <w:rPr>
                <w:b/>
                <w:bCs/>
                <w:sz w:val="26"/>
                <w:szCs w:val="26"/>
              </w:rPr>
            </w:pPr>
            <w:r w:rsidRPr="00904321">
              <w:rPr>
                <w:b/>
                <w:bCs/>
                <w:sz w:val="26"/>
                <w:szCs w:val="26"/>
              </w:rPr>
              <w:t>ЭР г/</w:t>
            </w:r>
            <w:proofErr w:type="spellStart"/>
            <w:r w:rsidRPr="00904321">
              <w:rPr>
                <w:b/>
                <w:bCs/>
                <w:sz w:val="26"/>
                <w:szCs w:val="26"/>
              </w:rPr>
              <w:t>п</w:t>
            </w:r>
            <w:proofErr w:type="spellEnd"/>
            <w:r w:rsidRPr="00904321">
              <w:rPr>
                <w:b/>
                <w:bCs/>
                <w:sz w:val="26"/>
                <w:szCs w:val="26"/>
              </w:rPr>
              <w:t xml:space="preserve"> = СД г/</w:t>
            </w:r>
            <w:proofErr w:type="spellStart"/>
            <w:r w:rsidRPr="00904321">
              <w:rPr>
                <w:b/>
                <w:bCs/>
                <w:sz w:val="26"/>
                <w:szCs w:val="26"/>
              </w:rPr>
              <w:t>п</w:t>
            </w:r>
            <w:proofErr w:type="spellEnd"/>
            <w:r w:rsidRPr="00904321">
              <w:rPr>
                <w:b/>
                <w:bCs/>
                <w:sz w:val="26"/>
                <w:szCs w:val="26"/>
              </w:rPr>
              <w:t xml:space="preserve">*Э </w:t>
            </w:r>
            <w:proofErr w:type="spellStart"/>
            <w:r w:rsidRPr="00904321">
              <w:rPr>
                <w:b/>
                <w:bCs/>
                <w:sz w:val="26"/>
                <w:szCs w:val="26"/>
              </w:rPr>
              <w:t>ис</w:t>
            </w:r>
            <w:proofErr w:type="spellEnd"/>
            <w:r w:rsidRPr="00904321">
              <w:rPr>
                <w:sz w:val="26"/>
                <w:szCs w:val="26"/>
              </w:rPr>
              <w:t>, где:</w:t>
            </w:r>
          </w:p>
        </w:tc>
        <w:tc>
          <w:tcPr>
            <w:tcW w:w="2979" w:type="dxa"/>
            <w:tcBorders>
              <w:top w:val="nil"/>
              <w:left w:val="nil"/>
              <w:bottom w:val="nil"/>
              <w:right w:val="nil"/>
            </w:tcBorders>
            <w:shd w:val="clear" w:color="auto" w:fill="auto"/>
            <w:noWrap/>
            <w:vAlign w:val="bottom"/>
            <w:hideMark/>
          </w:tcPr>
          <w:p w:rsidR="00904321" w:rsidRPr="00904321" w:rsidRDefault="00904321" w:rsidP="00904321">
            <w:pPr>
              <w:rPr>
                <w:rFonts w:ascii="Calibri" w:hAnsi="Calibri"/>
              </w:rPr>
            </w:pPr>
          </w:p>
        </w:tc>
      </w:tr>
      <w:tr w:rsidR="00904321" w:rsidRPr="00904321" w:rsidTr="00904321">
        <w:trPr>
          <w:trHeight w:val="300"/>
        </w:trPr>
        <w:tc>
          <w:tcPr>
            <w:tcW w:w="1035" w:type="dxa"/>
            <w:tcBorders>
              <w:top w:val="nil"/>
              <w:left w:val="nil"/>
              <w:bottom w:val="nil"/>
              <w:right w:val="nil"/>
            </w:tcBorders>
            <w:shd w:val="clear" w:color="auto" w:fill="auto"/>
            <w:noWrap/>
            <w:vAlign w:val="bottom"/>
            <w:hideMark/>
          </w:tcPr>
          <w:p w:rsidR="00904321" w:rsidRPr="00904321" w:rsidRDefault="00904321" w:rsidP="00904321">
            <w:pPr>
              <w:rPr>
                <w:sz w:val="26"/>
                <w:szCs w:val="26"/>
              </w:rPr>
            </w:pPr>
          </w:p>
        </w:tc>
        <w:tc>
          <w:tcPr>
            <w:tcW w:w="1035" w:type="dxa"/>
            <w:tcBorders>
              <w:top w:val="nil"/>
              <w:left w:val="nil"/>
              <w:bottom w:val="nil"/>
              <w:right w:val="nil"/>
            </w:tcBorders>
            <w:shd w:val="clear" w:color="auto" w:fill="auto"/>
            <w:noWrap/>
            <w:vAlign w:val="bottom"/>
            <w:hideMark/>
          </w:tcPr>
          <w:p w:rsidR="00904321" w:rsidRPr="00904321" w:rsidRDefault="00904321" w:rsidP="00904321">
            <w:pPr>
              <w:rPr>
                <w:rFonts w:ascii="Calibri" w:hAnsi="Calibri"/>
                <w:sz w:val="26"/>
                <w:szCs w:val="26"/>
              </w:rPr>
            </w:pPr>
          </w:p>
        </w:tc>
        <w:tc>
          <w:tcPr>
            <w:tcW w:w="1035" w:type="dxa"/>
            <w:tcBorders>
              <w:top w:val="nil"/>
              <w:left w:val="nil"/>
              <w:bottom w:val="nil"/>
              <w:right w:val="nil"/>
            </w:tcBorders>
            <w:shd w:val="clear" w:color="auto" w:fill="auto"/>
            <w:noWrap/>
            <w:vAlign w:val="bottom"/>
            <w:hideMark/>
          </w:tcPr>
          <w:p w:rsidR="00904321" w:rsidRPr="00904321" w:rsidRDefault="00904321" w:rsidP="00904321">
            <w:pPr>
              <w:rPr>
                <w:rFonts w:ascii="Calibri" w:hAnsi="Calibri"/>
                <w:sz w:val="26"/>
                <w:szCs w:val="26"/>
              </w:rPr>
            </w:pPr>
          </w:p>
        </w:tc>
        <w:tc>
          <w:tcPr>
            <w:tcW w:w="1035" w:type="dxa"/>
            <w:tcBorders>
              <w:top w:val="nil"/>
              <w:left w:val="nil"/>
              <w:bottom w:val="nil"/>
              <w:right w:val="nil"/>
            </w:tcBorders>
            <w:shd w:val="clear" w:color="auto" w:fill="auto"/>
            <w:noWrap/>
            <w:vAlign w:val="bottom"/>
            <w:hideMark/>
          </w:tcPr>
          <w:p w:rsidR="00904321" w:rsidRPr="00904321" w:rsidRDefault="00904321" w:rsidP="00904321">
            <w:pPr>
              <w:rPr>
                <w:rFonts w:ascii="Calibri" w:hAnsi="Calibri"/>
                <w:sz w:val="26"/>
                <w:szCs w:val="26"/>
              </w:rPr>
            </w:pPr>
          </w:p>
        </w:tc>
        <w:tc>
          <w:tcPr>
            <w:tcW w:w="1035" w:type="dxa"/>
            <w:tcBorders>
              <w:top w:val="nil"/>
              <w:left w:val="nil"/>
              <w:bottom w:val="nil"/>
              <w:right w:val="nil"/>
            </w:tcBorders>
            <w:shd w:val="clear" w:color="auto" w:fill="auto"/>
            <w:noWrap/>
            <w:vAlign w:val="bottom"/>
            <w:hideMark/>
          </w:tcPr>
          <w:p w:rsidR="00904321" w:rsidRPr="00904321" w:rsidRDefault="00904321" w:rsidP="00904321">
            <w:pPr>
              <w:rPr>
                <w:rFonts w:ascii="Calibri" w:hAnsi="Calibri"/>
                <w:sz w:val="26"/>
                <w:szCs w:val="26"/>
              </w:rPr>
            </w:pPr>
          </w:p>
        </w:tc>
        <w:tc>
          <w:tcPr>
            <w:tcW w:w="2979" w:type="dxa"/>
            <w:tcBorders>
              <w:top w:val="nil"/>
              <w:left w:val="nil"/>
              <w:bottom w:val="nil"/>
              <w:right w:val="nil"/>
            </w:tcBorders>
            <w:shd w:val="clear" w:color="auto" w:fill="auto"/>
            <w:noWrap/>
            <w:vAlign w:val="bottom"/>
            <w:hideMark/>
          </w:tcPr>
          <w:p w:rsidR="00904321" w:rsidRPr="00904321" w:rsidRDefault="00904321" w:rsidP="00904321">
            <w:pPr>
              <w:rPr>
                <w:rFonts w:ascii="Calibri" w:hAnsi="Calibri"/>
              </w:rPr>
            </w:pPr>
          </w:p>
        </w:tc>
      </w:tr>
      <w:tr w:rsidR="00904321" w:rsidRPr="00904321" w:rsidTr="00904321">
        <w:trPr>
          <w:trHeight w:val="300"/>
        </w:trPr>
        <w:tc>
          <w:tcPr>
            <w:tcW w:w="8154" w:type="dxa"/>
            <w:gridSpan w:val="6"/>
            <w:tcBorders>
              <w:top w:val="nil"/>
              <w:left w:val="nil"/>
              <w:bottom w:val="nil"/>
              <w:right w:val="nil"/>
            </w:tcBorders>
            <w:shd w:val="clear" w:color="000000" w:fill="FFFFFF"/>
            <w:noWrap/>
            <w:vAlign w:val="bottom"/>
            <w:hideMark/>
          </w:tcPr>
          <w:p w:rsidR="00904321" w:rsidRPr="00904321" w:rsidRDefault="00904321" w:rsidP="00904321">
            <w:pPr>
              <w:rPr>
                <w:sz w:val="26"/>
                <w:szCs w:val="26"/>
              </w:rPr>
            </w:pPr>
            <w:r w:rsidRPr="00904321">
              <w:rPr>
                <w:sz w:val="26"/>
                <w:szCs w:val="26"/>
              </w:rPr>
              <w:t>ЭР г/</w:t>
            </w:r>
            <w:proofErr w:type="spellStart"/>
            <w:r w:rsidRPr="00904321">
              <w:rPr>
                <w:sz w:val="26"/>
                <w:szCs w:val="26"/>
              </w:rPr>
              <w:t>п</w:t>
            </w:r>
            <w:proofErr w:type="spellEnd"/>
            <w:r w:rsidRPr="00904321">
              <w:rPr>
                <w:sz w:val="26"/>
                <w:szCs w:val="26"/>
              </w:rPr>
              <w:t xml:space="preserve"> – эффективность реализации государственной программы;</w:t>
            </w:r>
          </w:p>
        </w:tc>
      </w:tr>
      <w:tr w:rsidR="00904321" w:rsidRPr="00904321" w:rsidTr="00904321">
        <w:trPr>
          <w:trHeight w:val="300"/>
        </w:trPr>
        <w:tc>
          <w:tcPr>
            <w:tcW w:w="8154" w:type="dxa"/>
            <w:gridSpan w:val="6"/>
            <w:tcBorders>
              <w:top w:val="nil"/>
              <w:left w:val="nil"/>
              <w:bottom w:val="nil"/>
              <w:right w:val="nil"/>
            </w:tcBorders>
            <w:shd w:val="clear" w:color="000000" w:fill="FFFFFF"/>
            <w:noWrap/>
            <w:vAlign w:val="bottom"/>
            <w:hideMark/>
          </w:tcPr>
          <w:p w:rsidR="00904321" w:rsidRPr="00904321" w:rsidRDefault="00904321" w:rsidP="00904321">
            <w:pPr>
              <w:rPr>
                <w:sz w:val="26"/>
                <w:szCs w:val="26"/>
              </w:rPr>
            </w:pPr>
            <w:r w:rsidRPr="00904321">
              <w:rPr>
                <w:sz w:val="26"/>
                <w:szCs w:val="26"/>
              </w:rPr>
              <w:t>СД г/</w:t>
            </w:r>
            <w:proofErr w:type="spellStart"/>
            <w:r w:rsidRPr="00904321">
              <w:rPr>
                <w:sz w:val="26"/>
                <w:szCs w:val="26"/>
              </w:rPr>
              <w:t>п</w:t>
            </w:r>
            <w:proofErr w:type="spellEnd"/>
            <w:r w:rsidRPr="00904321">
              <w:rPr>
                <w:sz w:val="26"/>
                <w:szCs w:val="26"/>
              </w:rPr>
              <w:t xml:space="preserve"> – степень достижения плановых значений целевых показателей </w:t>
            </w:r>
            <w:r w:rsidRPr="00904321">
              <w:rPr>
                <w:sz w:val="26"/>
                <w:szCs w:val="26"/>
              </w:rPr>
              <w:lastRenderedPageBreak/>
              <w:t>(индикаторов);</w:t>
            </w:r>
          </w:p>
        </w:tc>
      </w:tr>
      <w:tr w:rsidR="00904321" w:rsidRPr="00904321" w:rsidTr="00904321">
        <w:trPr>
          <w:trHeight w:val="300"/>
        </w:trPr>
        <w:tc>
          <w:tcPr>
            <w:tcW w:w="8154" w:type="dxa"/>
            <w:gridSpan w:val="6"/>
            <w:tcBorders>
              <w:top w:val="nil"/>
              <w:left w:val="nil"/>
              <w:bottom w:val="nil"/>
              <w:right w:val="nil"/>
            </w:tcBorders>
            <w:shd w:val="clear" w:color="000000" w:fill="FFFFFF"/>
            <w:noWrap/>
            <w:vAlign w:val="bottom"/>
            <w:hideMark/>
          </w:tcPr>
          <w:p w:rsidR="00904321" w:rsidRPr="00904321" w:rsidRDefault="00904321" w:rsidP="00904321">
            <w:pPr>
              <w:rPr>
                <w:sz w:val="26"/>
                <w:szCs w:val="26"/>
              </w:rPr>
            </w:pPr>
            <w:r w:rsidRPr="00904321">
              <w:rPr>
                <w:sz w:val="26"/>
                <w:szCs w:val="26"/>
              </w:rPr>
              <w:lastRenderedPageBreak/>
              <w:t xml:space="preserve">Э </w:t>
            </w:r>
            <w:proofErr w:type="spellStart"/>
            <w:r w:rsidRPr="00904321">
              <w:rPr>
                <w:sz w:val="26"/>
                <w:szCs w:val="26"/>
              </w:rPr>
              <w:t>ис</w:t>
            </w:r>
            <w:proofErr w:type="spellEnd"/>
            <w:r w:rsidRPr="00904321">
              <w:rPr>
                <w:sz w:val="26"/>
                <w:szCs w:val="26"/>
              </w:rPr>
              <w:t xml:space="preserve"> – эффективность использования средств бюджета Удмуртской Республики</w:t>
            </w:r>
          </w:p>
        </w:tc>
      </w:tr>
      <w:tr w:rsidR="00904321" w:rsidRPr="00904321" w:rsidTr="00904321">
        <w:trPr>
          <w:trHeight w:val="465"/>
        </w:trPr>
        <w:tc>
          <w:tcPr>
            <w:tcW w:w="5175" w:type="dxa"/>
            <w:gridSpan w:val="5"/>
            <w:tcBorders>
              <w:top w:val="nil"/>
              <w:left w:val="nil"/>
              <w:bottom w:val="nil"/>
              <w:right w:val="nil"/>
            </w:tcBorders>
            <w:shd w:val="clear" w:color="auto" w:fill="auto"/>
            <w:noWrap/>
            <w:vAlign w:val="bottom"/>
            <w:hideMark/>
          </w:tcPr>
          <w:p w:rsidR="00A81993" w:rsidRPr="00904321" w:rsidRDefault="00904321" w:rsidP="00AA6C3A">
            <w:pPr>
              <w:rPr>
                <w:sz w:val="26"/>
                <w:szCs w:val="26"/>
              </w:rPr>
            </w:pPr>
            <w:r w:rsidRPr="00904321">
              <w:rPr>
                <w:sz w:val="26"/>
                <w:szCs w:val="26"/>
              </w:rPr>
              <w:t>ЭР г/</w:t>
            </w:r>
            <w:proofErr w:type="spellStart"/>
            <w:r w:rsidRPr="00904321">
              <w:rPr>
                <w:sz w:val="26"/>
                <w:szCs w:val="26"/>
              </w:rPr>
              <w:t>п</w:t>
            </w:r>
            <w:proofErr w:type="spellEnd"/>
            <w:r w:rsidRPr="00904321">
              <w:rPr>
                <w:sz w:val="26"/>
                <w:szCs w:val="26"/>
              </w:rPr>
              <w:t xml:space="preserve"> = </w:t>
            </w:r>
            <w:r w:rsidR="00AA6C3A">
              <w:rPr>
                <w:sz w:val="26"/>
                <w:szCs w:val="26"/>
              </w:rPr>
              <w:t>1,0/</w:t>
            </w:r>
            <w:r w:rsidRPr="00904321">
              <w:rPr>
                <w:sz w:val="26"/>
                <w:szCs w:val="26"/>
              </w:rPr>
              <w:t xml:space="preserve">1,0= </w:t>
            </w:r>
            <w:r w:rsidR="00AA6C3A">
              <w:rPr>
                <w:sz w:val="26"/>
                <w:szCs w:val="26"/>
              </w:rPr>
              <w:t>1,0</w:t>
            </w:r>
          </w:p>
        </w:tc>
        <w:tc>
          <w:tcPr>
            <w:tcW w:w="2979" w:type="dxa"/>
            <w:tcBorders>
              <w:top w:val="nil"/>
              <w:left w:val="nil"/>
              <w:bottom w:val="nil"/>
              <w:right w:val="nil"/>
            </w:tcBorders>
            <w:shd w:val="clear" w:color="auto" w:fill="auto"/>
            <w:noWrap/>
            <w:vAlign w:val="bottom"/>
            <w:hideMark/>
          </w:tcPr>
          <w:p w:rsidR="00904321" w:rsidRPr="00904321" w:rsidRDefault="00904321" w:rsidP="00904321">
            <w:pPr>
              <w:rPr>
                <w:rFonts w:ascii="Calibri" w:hAnsi="Calibri"/>
              </w:rPr>
            </w:pPr>
          </w:p>
        </w:tc>
      </w:tr>
    </w:tbl>
    <w:p w:rsidR="00904321" w:rsidRDefault="00904321" w:rsidP="0062295A">
      <w:pPr>
        <w:ind w:firstLine="567"/>
        <w:jc w:val="both"/>
        <w:rPr>
          <w:sz w:val="26"/>
          <w:szCs w:val="26"/>
        </w:rPr>
      </w:pPr>
    </w:p>
    <w:p w:rsidR="00A81993" w:rsidRDefault="00A81993" w:rsidP="0062295A">
      <w:pPr>
        <w:ind w:firstLine="567"/>
        <w:jc w:val="both"/>
        <w:rPr>
          <w:b/>
          <w:sz w:val="26"/>
          <w:szCs w:val="26"/>
        </w:rPr>
      </w:pPr>
      <w:r>
        <w:rPr>
          <w:b/>
          <w:sz w:val="26"/>
          <w:szCs w:val="26"/>
        </w:rPr>
        <w:t>ИТОГ</w:t>
      </w:r>
    </w:p>
    <w:p w:rsidR="00A81993" w:rsidRPr="00A81993" w:rsidRDefault="00A81993" w:rsidP="0062295A">
      <w:pPr>
        <w:ind w:firstLine="567"/>
        <w:jc w:val="both"/>
        <w:rPr>
          <w:b/>
          <w:sz w:val="26"/>
          <w:szCs w:val="26"/>
        </w:rPr>
      </w:pPr>
      <w:r w:rsidRPr="00A81993">
        <w:rPr>
          <w:b/>
          <w:sz w:val="26"/>
          <w:szCs w:val="26"/>
        </w:rPr>
        <w:t>Эффективность реализации</w:t>
      </w:r>
      <w:r w:rsidRPr="00A81993">
        <w:rPr>
          <w:sz w:val="26"/>
          <w:szCs w:val="26"/>
        </w:rPr>
        <w:t xml:space="preserve"> государственной программы</w:t>
      </w:r>
      <w:r w:rsidR="00AA6C3A">
        <w:rPr>
          <w:sz w:val="26"/>
          <w:szCs w:val="26"/>
        </w:rPr>
        <w:t xml:space="preserve"> Удмуртской Республики</w:t>
      </w:r>
      <w:r w:rsidRPr="00A81993">
        <w:rPr>
          <w:sz w:val="26"/>
          <w:szCs w:val="26"/>
        </w:rPr>
        <w:t xml:space="preserve"> «Этносоциальное развитие и гармонизация межэтнических отношений»</w:t>
      </w:r>
      <w:r w:rsidR="00AA6C3A">
        <w:rPr>
          <w:sz w:val="26"/>
          <w:szCs w:val="26"/>
        </w:rPr>
        <w:t xml:space="preserve"> в 2017 году</w:t>
      </w:r>
      <w:r w:rsidRPr="00A81993">
        <w:rPr>
          <w:sz w:val="26"/>
          <w:szCs w:val="26"/>
        </w:rPr>
        <w:t xml:space="preserve"> составляет</w:t>
      </w:r>
      <w:r w:rsidRPr="00A81993">
        <w:rPr>
          <w:b/>
          <w:sz w:val="26"/>
          <w:szCs w:val="26"/>
        </w:rPr>
        <w:t xml:space="preserve"> </w:t>
      </w:r>
      <w:r w:rsidR="00AA6C3A">
        <w:rPr>
          <w:b/>
          <w:sz w:val="26"/>
          <w:szCs w:val="26"/>
        </w:rPr>
        <w:t>1,0</w:t>
      </w:r>
      <w:r>
        <w:rPr>
          <w:b/>
          <w:sz w:val="26"/>
          <w:szCs w:val="26"/>
        </w:rPr>
        <w:t>.</w:t>
      </w:r>
    </w:p>
    <w:sectPr w:rsidR="00A81993" w:rsidRPr="00A81993" w:rsidSect="008D21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EDC"/>
    <w:rsid w:val="00067EA5"/>
    <w:rsid w:val="00122772"/>
    <w:rsid w:val="001377ED"/>
    <w:rsid w:val="001A2EDC"/>
    <w:rsid w:val="001A66F4"/>
    <w:rsid w:val="00413968"/>
    <w:rsid w:val="004554E7"/>
    <w:rsid w:val="004F782D"/>
    <w:rsid w:val="005F08DE"/>
    <w:rsid w:val="0062295A"/>
    <w:rsid w:val="008764DB"/>
    <w:rsid w:val="008B4399"/>
    <w:rsid w:val="008D2169"/>
    <w:rsid w:val="008D2C2A"/>
    <w:rsid w:val="00904321"/>
    <w:rsid w:val="009A00DE"/>
    <w:rsid w:val="00A81993"/>
    <w:rsid w:val="00AA6C3A"/>
    <w:rsid w:val="00AD3DC6"/>
    <w:rsid w:val="00D55622"/>
    <w:rsid w:val="00ED4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2EDC"/>
    <w:pPr>
      <w:keepNext/>
      <w:spacing w:before="240" w:after="60" w:line="276" w:lineRule="auto"/>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EDC"/>
    <w:rPr>
      <w:rFonts w:ascii="Arial" w:eastAsia="Times New Roman" w:hAnsi="Arial" w:cs="Arial"/>
      <w:b/>
      <w:bCs/>
      <w:kern w:val="32"/>
      <w:sz w:val="32"/>
      <w:szCs w:val="32"/>
    </w:rPr>
  </w:style>
  <w:style w:type="paragraph" w:styleId="a3">
    <w:name w:val="Body Text"/>
    <w:basedOn w:val="a"/>
    <w:link w:val="a4"/>
    <w:uiPriority w:val="99"/>
    <w:rsid w:val="001A2EDC"/>
    <w:pPr>
      <w:spacing w:after="120" w:line="276" w:lineRule="auto"/>
    </w:pPr>
    <w:rPr>
      <w:rFonts w:ascii="Calibri" w:eastAsia="Calibri" w:hAnsi="Calibri"/>
      <w:sz w:val="20"/>
      <w:szCs w:val="20"/>
    </w:rPr>
  </w:style>
  <w:style w:type="character" w:customStyle="1" w:styleId="a4">
    <w:name w:val="Основной текст Знак"/>
    <w:basedOn w:val="a0"/>
    <w:link w:val="a3"/>
    <w:uiPriority w:val="99"/>
    <w:rsid w:val="001A2EDC"/>
    <w:rPr>
      <w:rFonts w:ascii="Calibri" w:eastAsia="Calibri" w:hAnsi="Calibri" w:cs="Times New Roman"/>
      <w:sz w:val="20"/>
      <w:szCs w:val="20"/>
      <w:lang w:eastAsia="ru-RU"/>
    </w:rPr>
  </w:style>
  <w:style w:type="paragraph" w:customStyle="1" w:styleId="2">
    <w:name w:val="Без интервала2"/>
    <w:uiPriority w:val="99"/>
    <w:rsid w:val="001A2EDC"/>
    <w:pPr>
      <w:spacing w:after="0" w:line="240" w:lineRule="auto"/>
    </w:pPr>
    <w:rPr>
      <w:rFonts w:ascii="Calibri" w:eastAsia="Calibri" w:hAnsi="Calibri" w:cs="Times New Roman"/>
      <w:lang w:eastAsia="ru-RU"/>
    </w:rPr>
  </w:style>
  <w:style w:type="paragraph" w:styleId="a5">
    <w:name w:val="List Paragraph"/>
    <w:basedOn w:val="a"/>
    <w:uiPriority w:val="34"/>
    <w:qFormat/>
    <w:rsid w:val="005F08DE"/>
    <w:pPr>
      <w:ind w:left="720"/>
      <w:contextualSpacing/>
    </w:pPr>
  </w:style>
</w:styles>
</file>

<file path=word/webSettings.xml><?xml version="1.0" encoding="utf-8"?>
<w:webSettings xmlns:r="http://schemas.openxmlformats.org/officeDocument/2006/relationships" xmlns:w="http://schemas.openxmlformats.org/wordprocessingml/2006/main">
  <w:divs>
    <w:div w:id="97453549">
      <w:bodyDiv w:val="1"/>
      <w:marLeft w:val="0"/>
      <w:marRight w:val="0"/>
      <w:marTop w:val="0"/>
      <w:marBottom w:val="0"/>
      <w:divBdr>
        <w:top w:val="none" w:sz="0" w:space="0" w:color="auto"/>
        <w:left w:val="none" w:sz="0" w:space="0" w:color="auto"/>
        <w:bottom w:val="none" w:sz="0" w:space="0" w:color="auto"/>
        <w:right w:val="none" w:sz="0" w:space="0" w:color="auto"/>
      </w:divBdr>
    </w:div>
    <w:div w:id="235745366">
      <w:bodyDiv w:val="1"/>
      <w:marLeft w:val="0"/>
      <w:marRight w:val="0"/>
      <w:marTop w:val="0"/>
      <w:marBottom w:val="0"/>
      <w:divBdr>
        <w:top w:val="none" w:sz="0" w:space="0" w:color="auto"/>
        <w:left w:val="none" w:sz="0" w:space="0" w:color="auto"/>
        <w:bottom w:val="none" w:sz="0" w:space="0" w:color="auto"/>
        <w:right w:val="none" w:sz="0" w:space="0" w:color="auto"/>
      </w:divBdr>
    </w:div>
    <w:div w:id="252862547">
      <w:bodyDiv w:val="1"/>
      <w:marLeft w:val="0"/>
      <w:marRight w:val="0"/>
      <w:marTop w:val="0"/>
      <w:marBottom w:val="0"/>
      <w:divBdr>
        <w:top w:val="none" w:sz="0" w:space="0" w:color="auto"/>
        <w:left w:val="none" w:sz="0" w:space="0" w:color="auto"/>
        <w:bottom w:val="none" w:sz="0" w:space="0" w:color="auto"/>
        <w:right w:val="none" w:sz="0" w:space="0" w:color="auto"/>
      </w:divBdr>
    </w:div>
    <w:div w:id="273833393">
      <w:bodyDiv w:val="1"/>
      <w:marLeft w:val="0"/>
      <w:marRight w:val="0"/>
      <w:marTop w:val="0"/>
      <w:marBottom w:val="0"/>
      <w:divBdr>
        <w:top w:val="none" w:sz="0" w:space="0" w:color="auto"/>
        <w:left w:val="none" w:sz="0" w:space="0" w:color="auto"/>
        <w:bottom w:val="none" w:sz="0" w:space="0" w:color="auto"/>
        <w:right w:val="none" w:sz="0" w:space="0" w:color="auto"/>
      </w:divBdr>
    </w:div>
    <w:div w:id="386533314">
      <w:bodyDiv w:val="1"/>
      <w:marLeft w:val="0"/>
      <w:marRight w:val="0"/>
      <w:marTop w:val="0"/>
      <w:marBottom w:val="0"/>
      <w:divBdr>
        <w:top w:val="none" w:sz="0" w:space="0" w:color="auto"/>
        <w:left w:val="none" w:sz="0" w:space="0" w:color="auto"/>
        <w:bottom w:val="none" w:sz="0" w:space="0" w:color="auto"/>
        <w:right w:val="none" w:sz="0" w:space="0" w:color="auto"/>
      </w:divBdr>
    </w:div>
    <w:div w:id="522670889">
      <w:bodyDiv w:val="1"/>
      <w:marLeft w:val="0"/>
      <w:marRight w:val="0"/>
      <w:marTop w:val="0"/>
      <w:marBottom w:val="0"/>
      <w:divBdr>
        <w:top w:val="none" w:sz="0" w:space="0" w:color="auto"/>
        <w:left w:val="none" w:sz="0" w:space="0" w:color="auto"/>
        <w:bottom w:val="none" w:sz="0" w:space="0" w:color="auto"/>
        <w:right w:val="none" w:sz="0" w:space="0" w:color="auto"/>
      </w:divBdr>
    </w:div>
    <w:div w:id="588320071">
      <w:bodyDiv w:val="1"/>
      <w:marLeft w:val="0"/>
      <w:marRight w:val="0"/>
      <w:marTop w:val="0"/>
      <w:marBottom w:val="0"/>
      <w:divBdr>
        <w:top w:val="none" w:sz="0" w:space="0" w:color="auto"/>
        <w:left w:val="none" w:sz="0" w:space="0" w:color="auto"/>
        <w:bottom w:val="none" w:sz="0" w:space="0" w:color="auto"/>
        <w:right w:val="none" w:sz="0" w:space="0" w:color="auto"/>
      </w:divBdr>
    </w:div>
    <w:div w:id="633944240">
      <w:bodyDiv w:val="1"/>
      <w:marLeft w:val="0"/>
      <w:marRight w:val="0"/>
      <w:marTop w:val="0"/>
      <w:marBottom w:val="0"/>
      <w:divBdr>
        <w:top w:val="none" w:sz="0" w:space="0" w:color="auto"/>
        <w:left w:val="none" w:sz="0" w:space="0" w:color="auto"/>
        <w:bottom w:val="none" w:sz="0" w:space="0" w:color="auto"/>
        <w:right w:val="none" w:sz="0" w:space="0" w:color="auto"/>
      </w:divBdr>
    </w:div>
    <w:div w:id="682436800">
      <w:bodyDiv w:val="1"/>
      <w:marLeft w:val="0"/>
      <w:marRight w:val="0"/>
      <w:marTop w:val="0"/>
      <w:marBottom w:val="0"/>
      <w:divBdr>
        <w:top w:val="none" w:sz="0" w:space="0" w:color="auto"/>
        <w:left w:val="none" w:sz="0" w:space="0" w:color="auto"/>
        <w:bottom w:val="none" w:sz="0" w:space="0" w:color="auto"/>
        <w:right w:val="none" w:sz="0" w:space="0" w:color="auto"/>
      </w:divBdr>
    </w:div>
    <w:div w:id="901209343">
      <w:bodyDiv w:val="1"/>
      <w:marLeft w:val="0"/>
      <w:marRight w:val="0"/>
      <w:marTop w:val="0"/>
      <w:marBottom w:val="0"/>
      <w:divBdr>
        <w:top w:val="none" w:sz="0" w:space="0" w:color="auto"/>
        <w:left w:val="none" w:sz="0" w:space="0" w:color="auto"/>
        <w:bottom w:val="none" w:sz="0" w:space="0" w:color="auto"/>
        <w:right w:val="none" w:sz="0" w:space="0" w:color="auto"/>
      </w:divBdr>
    </w:div>
    <w:div w:id="912928008">
      <w:bodyDiv w:val="1"/>
      <w:marLeft w:val="0"/>
      <w:marRight w:val="0"/>
      <w:marTop w:val="0"/>
      <w:marBottom w:val="0"/>
      <w:divBdr>
        <w:top w:val="none" w:sz="0" w:space="0" w:color="auto"/>
        <w:left w:val="none" w:sz="0" w:space="0" w:color="auto"/>
        <w:bottom w:val="none" w:sz="0" w:space="0" w:color="auto"/>
        <w:right w:val="none" w:sz="0" w:space="0" w:color="auto"/>
      </w:divBdr>
    </w:div>
    <w:div w:id="1004434274">
      <w:bodyDiv w:val="1"/>
      <w:marLeft w:val="0"/>
      <w:marRight w:val="0"/>
      <w:marTop w:val="0"/>
      <w:marBottom w:val="0"/>
      <w:divBdr>
        <w:top w:val="none" w:sz="0" w:space="0" w:color="auto"/>
        <w:left w:val="none" w:sz="0" w:space="0" w:color="auto"/>
        <w:bottom w:val="none" w:sz="0" w:space="0" w:color="auto"/>
        <w:right w:val="none" w:sz="0" w:space="0" w:color="auto"/>
      </w:divBdr>
    </w:div>
    <w:div w:id="1061294321">
      <w:bodyDiv w:val="1"/>
      <w:marLeft w:val="0"/>
      <w:marRight w:val="0"/>
      <w:marTop w:val="0"/>
      <w:marBottom w:val="0"/>
      <w:divBdr>
        <w:top w:val="none" w:sz="0" w:space="0" w:color="auto"/>
        <w:left w:val="none" w:sz="0" w:space="0" w:color="auto"/>
        <w:bottom w:val="none" w:sz="0" w:space="0" w:color="auto"/>
        <w:right w:val="none" w:sz="0" w:space="0" w:color="auto"/>
      </w:divBdr>
    </w:div>
    <w:div w:id="1084836075">
      <w:bodyDiv w:val="1"/>
      <w:marLeft w:val="0"/>
      <w:marRight w:val="0"/>
      <w:marTop w:val="0"/>
      <w:marBottom w:val="0"/>
      <w:divBdr>
        <w:top w:val="none" w:sz="0" w:space="0" w:color="auto"/>
        <w:left w:val="none" w:sz="0" w:space="0" w:color="auto"/>
        <w:bottom w:val="none" w:sz="0" w:space="0" w:color="auto"/>
        <w:right w:val="none" w:sz="0" w:space="0" w:color="auto"/>
      </w:divBdr>
    </w:div>
    <w:div w:id="1182744620">
      <w:bodyDiv w:val="1"/>
      <w:marLeft w:val="0"/>
      <w:marRight w:val="0"/>
      <w:marTop w:val="0"/>
      <w:marBottom w:val="0"/>
      <w:divBdr>
        <w:top w:val="none" w:sz="0" w:space="0" w:color="auto"/>
        <w:left w:val="none" w:sz="0" w:space="0" w:color="auto"/>
        <w:bottom w:val="none" w:sz="0" w:space="0" w:color="auto"/>
        <w:right w:val="none" w:sz="0" w:space="0" w:color="auto"/>
      </w:divBdr>
    </w:div>
    <w:div w:id="1210802296">
      <w:bodyDiv w:val="1"/>
      <w:marLeft w:val="0"/>
      <w:marRight w:val="0"/>
      <w:marTop w:val="0"/>
      <w:marBottom w:val="0"/>
      <w:divBdr>
        <w:top w:val="none" w:sz="0" w:space="0" w:color="auto"/>
        <w:left w:val="none" w:sz="0" w:space="0" w:color="auto"/>
        <w:bottom w:val="none" w:sz="0" w:space="0" w:color="auto"/>
        <w:right w:val="none" w:sz="0" w:space="0" w:color="auto"/>
      </w:divBdr>
    </w:div>
    <w:div w:id="1334071925">
      <w:bodyDiv w:val="1"/>
      <w:marLeft w:val="0"/>
      <w:marRight w:val="0"/>
      <w:marTop w:val="0"/>
      <w:marBottom w:val="0"/>
      <w:divBdr>
        <w:top w:val="none" w:sz="0" w:space="0" w:color="auto"/>
        <w:left w:val="none" w:sz="0" w:space="0" w:color="auto"/>
        <w:bottom w:val="none" w:sz="0" w:space="0" w:color="auto"/>
        <w:right w:val="none" w:sz="0" w:space="0" w:color="auto"/>
      </w:divBdr>
    </w:div>
    <w:div w:id="1414932951">
      <w:bodyDiv w:val="1"/>
      <w:marLeft w:val="0"/>
      <w:marRight w:val="0"/>
      <w:marTop w:val="0"/>
      <w:marBottom w:val="0"/>
      <w:divBdr>
        <w:top w:val="none" w:sz="0" w:space="0" w:color="auto"/>
        <w:left w:val="none" w:sz="0" w:space="0" w:color="auto"/>
        <w:bottom w:val="none" w:sz="0" w:space="0" w:color="auto"/>
        <w:right w:val="none" w:sz="0" w:space="0" w:color="auto"/>
      </w:divBdr>
    </w:div>
    <w:div w:id="1442726180">
      <w:bodyDiv w:val="1"/>
      <w:marLeft w:val="0"/>
      <w:marRight w:val="0"/>
      <w:marTop w:val="0"/>
      <w:marBottom w:val="0"/>
      <w:divBdr>
        <w:top w:val="none" w:sz="0" w:space="0" w:color="auto"/>
        <w:left w:val="none" w:sz="0" w:space="0" w:color="auto"/>
        <w:bottom w:val="none" w:sz="0" w:space="0" w:color="auto"/>
        <w:right w:val="none" w:sz="0" w:space="0" w:color="auto"/>
      </w:divBdr>
    </w:div>
    <w:div w:id="1590626070">
      <w:bodyDiv w:val="1"/>
      <w:marLeft w:val="0"/>
      <w:marRight w:val="0"/>
      <w:marTop w:val="0"/>
      <w:marBottom w:val="0"/>
      <w:divBdr>
        <w:top w:val="none" w:sz="0" w:space="0" w:color="auto"/>
        <w:left w:val="none" w:sz="0" w:space="0" w:color="auto"/>
        <w:bottom w:val="none" w:sz="0" w:space="0" w:color="auto"/>
        <w:right w:val="none" w:sz="0" w:space="0" w:color="auto"/>
      </w:divBdr>
    </w:div>
    <w:div w:id="1606694856">
      <w:bodyDiv w:val="1"/>
      <w:marLeft w:val="0"/>
      <w:marRight w:val="0"/>
      <w:marTop w:val="0"/>
      <w:marBottom w:val="0"/>
      <w:divBdr>
        <w:top w:val="none" w:sz="0" w:space="0" w:color="auto"/>
        <w:left w:val="none" w:sz="0" w:space="0" w:color="auto"/>
        <w:bottom w:val="none" w:sz="0" w:space="0" w:color="auto"/>
        <w:right w:val="none" w:sz="0" w:space="0" w:color="auto"/>
      </w:divBdr>
    </w:div>
    <w:div w:id="1675298641">
      <w:bodyDiv w:val="1"/>
      <w:marLeft w:val="0"/>
      <w:marRight w:val="0"/>
      <w:marTop w:val="0"/>
      <w:marBottom w:val="0"/>
      <w:divBdr>
        <w:top w:val="none" w:sz="0" w:space="0" w:color="auto"/>
        <w:left w:val="none" w:sz="0" w:space="0" w:color="auto"/>
        <w:bottom w:val="none" w:sz="0" w:space="0" w:color="auto"/>
        <w:right w:val="none" w:sz="0" w:space="0" w:color="auto"/>
      </w:divBdr>
    </w:div>
    <w:div w:id="1719359695">
      <w:bodyDiv w:val="1"/>
      <w:marLeft w:val="0"/>
      <w:marRight w:val="0"/>
      <w:marTop w:val="0"/>
      <w:marBottom w:val="0"/>
      <w:divBdr>
        <w:top w:val="none" w:sz="0" w:space="0" w:color="auto"/>
        <w:left w:val="none" w:sz="0" w:space="0" w:color="auto"/>
        <w:bottom w:val="none" w:sz="0" w:space="0" w:color="auto"/>
        <w:right w:val="none" w:sz="0" w:space="0" w:color="auto"/>
      </w:divBdr>
    </w:div>
    <w:div w:id="1825002125">
      <w:bodyDiv w:val="1"/>
      <w:marLeft w:val="0"/>
      <w:marRight w:val="0"/>
      <w:marTop w:val="0"/>
      <w:marBottom w:val="0"/>
      <w:divBdr>
        <w:top w:val="none" w:sz="0" w:space="0" w:color="auto"/>
        <w:left w:val="none" w:sz="0" w:space="0" w:color="auto"/>
        <w:bottom w:val="none" w:sz="0" w:space="0" w:color="auto"/>
        <w:right w:val="none" w:sz="0" w:space="0" w:color="auto"/>
      </w:divBdr>
    </w:div>
    <w:div w:id="1859195091">
      <w:bodyDiv w:val="1"/>
      <w:marLeft w:val="0"/>
      <w:marRight w:val="0"/>
      <w:marTop w:val="0"/>
      <w:marBottom w:val="0"/>
      <w:divBdr>
        <w:top w:val="none" w:sz="0" w:space="0" w:color="auto"/>
        <w:left w:val="none" w:sz="0" w:space="0" w:color="auto"/>
        <w:bottom w:val="none" w:sz="0" w:space="0" w:color="auto"/>
        <w:right w:val="none" w:sz="0" w:space="0" w:color="auto"/>
      </w:divBdr>
    </w:div>
    <w:div w:id="1905724874">
      <w:bodyDiv w:val="1"/>
      <w:marLeft w:val="0"/>
      <w:marRight w:val="0"/>
      <w:marTop w:val="0"/>
      <w:marBottom w:val="0"/>
      <w:divBdr>
        <w:top w:val="none" w:sz="0" w:space="0" w:color="auto"/>
        <w:left w:val="none" w:sz="0" w:space="0" w:color="auto"/>
        <w:bottom w:val="none" w:sz="0" w:space="0" w:color="auto"/>
        <w:right w:val="none" w:sz="0" w:space="0" w:color="auto"/>
      </w:divBdr>
    </w:div>
    <w:div w:id="1940521920">
      <w:bodyDiv w:val="1"/>
      <w:marLeft w:val="0"/>
      <w:marRight w:val="0"/>
      <w:marTop w:val="0"/>
      <w:marBottom w:val="0"/>
      <w:divBdr>
        <w:top w:val="none" w:sz="0" w:space="0" w:color="auto"/>
        <w:left w:val="none" w:sz="0" w:space="0" w:color="auto"/>
        <w:bottom w:val="none" w:sz="0" w:space="0" w:color="auto"/>
        <w:right w:val="none" w:sz="0" w:space="0" w:color="auto"/>
      </w:divBdr>
    </w:div>
    <w:div w:id="2042244626">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1682</Words>
  <Characters>9591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Izmestiev</dc:creator>
  <cp:keywords/>
  <dc:description/>
  <cp:lastModifiedBy>Izmestiev</cp:lastModifiedBy>
  <cp:revision>9</cp:revision>
  <dcterms:created xsi:type="dcterms:W3CDTF">2017-05-18T13:57:00Z</dcterms:created>
  <dcterms:modified xsi:type="dcterms:W3CDTF">2018-04-26T05:02:00Z</dcterms:modified>
</cp:coreProperties>
</file>