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36"/>
        <w:gridCol w:w="152"/>
        <w:gridCol w:w="167"/>
      </w:tblGrid>
      <w:tr w:rsidR="009D4E47" w:rsidRPr="009D4E47" w:rsidTr="009D4E47">
        <w:trPr>
          <w:tblCellSpacing w:w="15" w:type="dxa"/>
        </w:trPr>
        <w:tc>
          <w:tcPr>
            <w:tcW w:w="0" w:type="auto"/>
            <w:gridSpan w:val="3"/>
            <w:tcBorders>
              <w:top w:val="nil"/>
              <w:left w:val="nil"/>
              <w:bottom w:val="nil"/>
              <w:right w:val="nil"/>
            </w:tcBorders>
            <w:shd w:val="clear" w:color="auto" w:fill="FFFFFF"/>
            <w:tcMar>
              <w:top w:w="60" w:type="dxa"/>
              <w:left w:w="60" w:type="dxa"/>
              <w:bottom w:w="60" w:type="dxa"/>
              <w:right w:w="60" w:type="dxa"/>
            </w:tcMar>
            <w:vAlign w:val="center"/>
            <w:hideMark/>
          </w:tcPr>
          <w:p w:rsidR="009D4E47" w:rsidRPr="009D4E47" w:rsidRDefault="009D4E47" w:rsidP="009D4E47">
            <w:pPr>
              <w:spacing w:after="150" w:line="240" w:lineRule="auto"/>
              <w:outlineLvl w:val="0"/>
              <w:rPr>
                <w:rFonts w:ascii="Arial Unicode MS" w:eastAsia="Arial Unicode MS" w:hAnsi="Arial Unicode MS" w:cs="Arial Unicode MS"/>
                <w:color w:val="FF0000"/>
                <w:kern w:val="36"/>
                <w:sz w:val="30"/>
                <w:szCs w:val="30"/>
                <w:lang w:eastAsia="ru-RU"/>
              </w:rPr>
            </w:pPr>
            <w:bookmarkStart w:id="0" w:name="_GoBack"/>
            <w:r w:rsidRPr="009D4E47">
              <w:rPr>
                <w:rFonts w:ascii="Arial Unicode MS" w:eastAsia="Arial Unicode MS" w:hAnsi="Arial Unicode MS" w:cs="Arial Unicode MS" w:hint="eastAsia"/>
                <w:color w:val="FF0000"/>
                <w:kern w:val="36"/>
                <w:sz w:val="30"/>
                <w:szCs w:val="30"/>
                <w:lang w:eastAsia="ru-RU"/>
              </w:rPr>
              <w:t>ПЛАН</w:t>
            </w:r>
          </w:p>
          <w:p w:rsidR="009D4E47" w:rsidRPr="009D4E47" w:rsidRDefault="009D4E47" w:rsidP="009D4E47">
            <w:pPr>
              <w:spacing w:after="150" w:line="240" w:lineRule="auto"/>
              <w:outlineLvl w:val="0"/>
              <w:rPr>
                <w:rFonts w:ascii="Arial Unicode MS" w:eastAsia="Arial Unicode MS" w:hAnsi="Arial Unicode MS" w:cs="Arial Unicode MS" w:hint="eastAsia"/>
                <w:color w:val="FF0000"/>
                <w:kern w:val="36"/>
                <w:sz w:val="30"/>
                <w:szCs w:val="30"/>
                <w:lang w:eastAsia="ru-RU"/>
              </w:rPr>
            </w:pPr>
            <w:r w:rsidRPr="009D4E47">
              <w:rPr>
                <w:rFonts w:ascii="Arial Unicode MS" w:eastAsia="Arial Unicode MS" w:hAnsi="Arial Unicode MS" w:cs="Arial Unicode MS" w:hint="eastAsia"/>
                <w:color w:val="FF0000"/>
                <w:kern w:val="36"/>
                <w:sz w:val="30"/>
                <w:szCs w:val="30"/>
                <w:lang w:eastAsia="ru-RU"/>
              </w:rPr>
              <w:t>проведения плановых проверок подведомственных организаций на 2015 год</w:t>
            </w:r>
          </w:p>
          <w:bookmarkEnd w:id="0"/>
          <w:p w:rsidR="009D4E47" w:rsidRPr="009D4E47" w:rsidRDefault="009D4E47" w:rsidP="009D4E47">
            <w:pPr>
              <w:spacing w:after="0" w:line="240" w:lineRule="auto"/>
              <w:jc w:val="center"/>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r>
      <w:tr w:rsidR="009D4E47" w:rsidRPr="009D4E47" w:rsidTr="009D4E47">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jc w:val="center"/>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bl>
            <w:tblPr>
              <w:tblW w:w="21600" w:type="dxa"/>
              <w:tblCellMar>
                <w:left w:w="0" w:type="dxa"/>
                <w:right w:w="0" w:type="dxa"/>
              </w:tblCellMar>
              <w:tblLook w:val="04A0" w:firstRow="1" w:lastRow="0" w:firstColumn="1" w:lastColumn="0" w:noHBand="0" w:noVBand="1"/>
            </w:tblPr>
            <w:tblGrid>
              <w:gridCol w:w="1980"/>
              <w:gridCol w:w="1789"/>
              <w:gridCol w:w="2325"/>
              <w:gridCol w:w="2574"/>
              <w:gridCol w:w="2194"/>
              <w:gridCol w:w="1489"/>
              <w:gridCol w:w="1772"/>
              <w:gridCol w:w="1786"/>
              <w:gridCol w:w="1117"/>
              <w:gridCol w:w="1117"/>
              <w:gridCol w:w="1886"/>
              <w:gridCol w:w="1571"/>
            </w:tblGrid>
            <w:tr w:rsidR="009D4E47" w:rsidRPr="009D4E47" w:rsidTr="009D4E47">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Наименование подведомственной организации, деятельность которой подлежит проверке </w:t>
                  </w:r>
                </w:p>
              </w:tc>
              <w:tc>
                <w:tcPr>
                  <w:tcW w:w="0" w:type="auto"/>
                  <w:gridSpan w:val="2"/>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Адреса</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Основной государственный регистрационный номер (ОГРН)</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Идентифика</w:t>
                  </w:r>
                  <w:r w:rsidRPr="009D4E47">
                    <w:rPr>
                      <w:rFonts w:ascii="Arial Unicode MS" w:eastAsia="Arial Unicode MS" w:hAnsi="Arial Unicode MS" w:cs="Arial Unicode MS" w:hint="eastAsia"/>
                      <w:sz w:val="21"/>
                      <w:szCs w:val="21"/>
                      <w:lang w:eastAsia="ru-RU"/>
                    </w:rPr>
                    <w:softHyphen/>
                    <w:t>ционный номер налогоплательщика (ИНН)</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Цель </w:t>
                  </w:r>
                  <w:proofErr w:type="gramStart"/>
                  <w:r w:rsidRPr="009D4E47">
                    <w:rPr>
                      <w:rFonts w:ascii="Arial Unicode MS" w:eastAsia="Arial Unicode MS" w:hAnsi="Arial Unicode MS" w:cs="Arial Unicode MS" w:hint="eastAsia"/>
                      <w:sz w:val="21"/>
                      <w:szCs w:val="21"/>
                      <w:lang w:eastAsia="ru-RU"/>
                    </w:rPr>
                    <w:t>проведения  проверки</w:t>
                  </w:r>
                  <w:proofErr w:type="gramEnd"/>
                </w:p>
              </w:tc>
              <w:tc>
                <w:tcPr>
                  <w:tcW w:w="0" w:type="auto"/>
                  <w:gridSpan w:val="2"/>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Основание проведения проверки</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Дата начала проведения проверки </w:t>
                  </w:r>
                  <w:r w:rsidRPr="009D4E47">
                    <w:rPr>
                      <w:rFonts w:ascii="Arial Unicode MS" w:eastAsia="Arial Unicode MS" w:hAnsi="Arial Unicode MS" w:cs="Arial Unicode MS" w:hint="eastAsia"/>
                      <w:sz w:val="21"/>
                      <w:szCs w:val="21"/>
                      <w:vertAlign w:val="superscript"/>
                      <w:lang w:eastAsia="ru-RU"/>
                    </w:rPr>
                    <w:t>1</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Форма проведения проверки (документар</w:t>
                  </w:r>
                  <w:r w:rsidRPr="009D4E47">
                    <w:rPr>
                      <w:rFonts w:ascii="Arial Unicode MS" w:eastAsia="Arial Unicode MS" w:hAnsi="Arial Unicode MS" w:cs="Arial Unicode MS" w:hint="eastAsia"/>
                      <w:sz w:val="21"/>
                      <w:szCs w:val="21"/>
                      <w:lang w:eastAsia="ru-RU"/>
                    </w:rPr>
                    <w:softHyphen/>
                    <w:t>ная, выездная, документарная и выездная)</w:t>
                  </w:r>
                </w:p>
              </w:tc>
              <w:tc>
                <w:tcPr>
                  <w:tcW w:w="0" w:type="auto"/>
                  <w:vMerge w:val="restart"/>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Наименование </w:t>
                  </w:r>
                  <w:proofErr w:type="gramStart"/>
                  <w:r w:rsidRPr="009D4E47">
                    <w:rPr>
                      <w:rFonts w:ascii="Arial Unicode MS" w:eastAsia="Arial Unicode MS" w:hAnsi="Arial Unicode MS" w:cs="Arial Unicode MS" w:hint="eastAsia"/>
                      <w:sz w:val="21"/>
                      <w:szCs w:val="21"/>
                      <w:lang w:eastAsia="ru-RU"/>
                    </w:rPr>
                    <w:t>органа</w:t>
                  </w:r>
                  <w:proofErr w:type="gramEnd"/>
                  <w:r w:rsidRPr="009D4E47">
                    <w:rPr>
                      <w:rFonts w:ascii="Arial Unicode MS" w:eastAsia="Arial Unicode MS" w:hAnsi="Arial Unicode MS" w:cs="Arial Unicode MS" w:hint="eastAsia"/>
                      <w:sz w:val="21"/>
                      <w:szCs w:val="21"/>
                      <w:lang w:eastAsia="ru-RU"/>
                    </w:rPr>
                    <w:t xml:space="preserve"> осуществляющего ведомственный контроль</w:t>
                  </w:r>
                </w:p>
              </w:tc>
            </w:tr>
            <w:tr w:rsidR="009D4E47" w:rsidRPr="009D4E47" w:rsidTr="009D4E47">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место нахождения подведомственной организации</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место фактического осуществления деятельности подведомственной организации</w:t>
                  </w: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proofErr w:type="gramStart"/>
                  <w:r w:rsidRPr="009D4E47">
                    <w:rPr>
                      <w:rFonts w:ascii="Arial Unicode MS" w:eastAsia="Arial Unicode MS" w:hAnsi="Arial Unicode MS" w:cs="Arial Unicode MS" w:hint="eastAsia"/>
                      <w:sz w:val="21"/>
                      <w:szCs w:val="21"/>
                      <w:lang w:eastAsia="ru-RU"/>
                    </w:rPr>
                    <w:t>дата  государственной</w:t>
                  </w:r>
                  <w:proofErr w:type="gramEnd"/>
                  <w:r w:rsidRPr="009D4E47">
                    <w:rPr>
                      <w:rFonts w:ascii="Arial Unicode MS" w:eastAsia="Arial Unicode MS" w:hAnsi="Arial Unicode MS" w:cs="Arial Unicode MS" w:hint="eastAsia"/>
                      <w:sz w:val="21"/>
                      <w:szCs w:val="21"/>
                      <w:lang w:eastAsia="ru-RU"/>
                    </w:rPr>
                    <w:t xml:space="preserve"> регистрации</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дата окончания последней проверки</w:t>
                  </w: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Срок проведения плановой проверки</w:t>
                  </w: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c>
                <w:tcPr>
                  <w:tcW w:w="0" w:type="auto"/>
                  <w:vMerge/>
                  <w:tcBorders>
                    <w:top w:val="nil"/>
                    <w:left w:val="nil"/>
                    <w:bottom w:val="nil"/>
                    <w:right w:val="nil"/>
                  </w:tcBorders>
                  <w:vAlign w:val="center"/>
                  <w:hideMark/>
                </w:tcPr>
                <w:p w:rsidR="009D4E47" w:rsidRPr="009D4E47" w:rsidRDefault="009D4E47" w:rsidP="009D4E47">
                  <w:pPr>
                    <w:spacing w:after="0" w:line="240" w:lineRule="auto"/>
                    <w:rPr>
                      <w:rFonts w:ascii="Arial Unicode MS" w:eastAsia="Arial Unicode MS" w:hAnsi="Arial Unicode MS" w:cs="Arial Unicode MS"/>
                      <w:sz w:val="21"/>
                      <w:szCs w:val="21"/>
                      <w:lang w:eastAsia="ru-RU"/>
                    </w:rPr>
                  </w:pPr>
                </w:p>
              </w:tc>
            </w:tr>
            <w:tr w:rsidR="009D4E47" w:rsidRPr="009D4E47" w:rsidTr="009D4E47">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Бюджетное учреждение Удмуртской Республики «Дом Дружбы народов»</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426063, г.Ижевск, </w:t>
                  </w:r>
                  <w:proofErr w:type="spellStart"/>
                  <w:r w:rsidRPr="009D4E47">
                    <w:rPr>
                      <w:rFonts w:ascii="Arial Unicode MS" w:eastAsia="Arial Unicode MS" w:hAnsi="Arial Unicode MS" w:cs="Arial Unicode MS" w:hint="eastAsia"/>
                      <w:sz w:val="21"/>
                      <w:szCs w:val="21"/>
                      <w:lang w:eastAsia="ru-RU"/>
                    </w:rPr>
                    <w:t>ул.Орджоникидзе</w:t>
                  </w:r>
                  <w:proofErr w:type="spellEnd"/>
                  <w:r w:rsidRPr="009D4E47">
                    <w:rPr>
                      <w:rFonts w:ascii="Arial Unicode MS" w:eastAsia="Arial Unicode MS" w:hAnsi="Arial Unicode MS" w:cs="Arial Unicode MS" w:hint="eastAsia"/>
                      <w:sz w:val="21"/>
                      <w:szCs w:val="21"/>
                      <w:lang w:eastAsia="ru-RU"/>
                    </w:rPr>
                    <w:t>, 33а</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426063, г.Ижевск, </w:t>
                  </w:r>
                  <w:proofErr w:type="spellStart"/>
                  <w:r w:rsidRPr="009D4E47">
                    <w:rPr>
                      <w:rFonts w:ascii="Arial Unicode MS" w:eastAsia="Arial Unicode MS" w:hAnsi="Arial Unicode MS" w:cs="Arial Unicode MS" w:hint="eastAsia"/>
                      <w:sz w:val="21"/>
                      <w:szCs w:val="21"/>
                      <w:lang w:eastAsia="ru-RU"/>
                    </w:rPr>
                    <w:t>ул.Орджоникидзе</w:t>
                  </w:r>
                  <w:proofErr w:type="spellEnd"/>
                  <w:r w:rsidRPr="009D4E47">
                    <w:rPr>
                      <w:rFonts w:ascii="Arial Unicode MS" w:eastAsia="Arial Unicode MS" w:hAnsi="Arial Unicode MS" w:cs="Arial Unicode MS" w:hint="eastAsia"/>
                      <w:sz w:val="21"/>
                      <w:szCs w:val="21"/>
                      <w:lang w:eastAsia="ru-RU"/>
                    </w:rPr>
                    <w:t>, 33а</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1071841006445</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1835079066</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соблюдение требований трудового законодательства</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02.07.2007</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07.06.2010</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w:t>
                  </w:r>
                  <w:proofErr w:type="spellStart"/>
                  <w:r w:rsidRPr="009D4E47">
                    <w:rPr>
                      <w:rFonts w:ascii="Arial Unicode MS" w:eastAsia="Arial Unicode MS" w:hAnsi="Arial Unicode MS" w:cs="Arial Unicode MS" w:hint="eastAsia"/>
                      <w:sz w:val="21"/>
                      <w:szCs w:val="21"/>
                      <w:lang w:eastAsia="ru-RU"/>
                    </w:rPr>
                    <w:t>госинспекция</w:t>
                  </w:r>
                  <w:proofErr w:type="spellEnd"/>
                  <w:r w:rsidRPr="009D4E47">
                    <w:rPr>
                      <w:rFonts w:ascii="Arial Unicode MS" w:eastAsia="Arial Unicode MS" w:hAnsi="Arial Unicode MS" w:cs="Arial Unicode MS" w:hint="eastAsia"/>
                      <w:sz w:val="21"/>
                      <w:szCs w:val="21"/>
                      <w:lang w:eastAsia="ru-RU"/>
                    </w:rPr>
                    <w:t xml:space="preserve"> труда в УР)</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декабрь</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20 дней</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выездная</w:t>
                  </w:r>
                </w:p>
              </w:tc>
              <w:tc>
                <w:tcPr>
                  <w:tcW w:w="0" w:type="auto"/>
                  <w:tcBorders>
                    <w:top w:val="nil"/>
                    <w:left w:val="nil"/>
                    <w:bottom w:val="nil"/>
                    <w:right w:val="nil"/>
                  </w:tcBorders>
                  <w:tcMar>
                    <w:top w:w="60" w:type="dxa"/>
                    <w:left w:w="150" w:type="dxa"/>
                    <w:bottom w:w="60" w:type="dxa"/>
                    <w:right w:w="150" w:type="dxa"/>
                  </w:tcMar>
                  <w:vAlign w:val="cente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Министерство национальной политики Удмуртской Республики</w:t>
                  </w:r>
                </w:p>
              </w:tc>
            </w:tr>
          </w:tbl>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vertAlign w:val="superscript"/>
                <w:lang w:eastAsia="ru-RU"/>
              </w:rPr>
              <w:t> </w:t>
            </w:r>
          </w:p>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vertAlign w:val="superscript"/>
                <w:lang w:eastAsia="ru-RU"/>
              </w:rPr>
              <w:t> </w:t>
            </w:r>
          </w:p>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vertAlign w:val="superscript"/>
                <w:lang w:eastAsia="ru-RU"/>
              </w:rPr>
              <w:t>1</w:t>
            </w:r>
            <w:r w:rsidRPr="009D4E47">
              <w:rPr>
                <w:rFonts w:ascii="Arial Unicode MS" w:eastAsia="Arial Unicode MS" w:hAnsi="Arial Unicode MS" w:cs="Arial Unicode MS" w:hint="eastAsia"/>
                <w:sz w:val="21"/>
                <w:szCs w:val="21"/>
                <w:lang w:eastAsia="ru-RU"/>
              </w:rPr>
              <w:t> Указывается календарный месяц начала проведения проверки.</w:t>
            </w:r>
          </w:p>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r>
      <w:tr w:rsidR="009D4E47" w:rsidRPr="009D4E47" w:rsidTr="009D4E47">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180" w:line="240" w:lineRule="auto"/>
              <w:rPr>
                <w:rFonts w:ascii="Arial Unicode MS" w:eastAsia="Arial Unicode MS" w:hAnsi="Arial Unicode MS" w:cs="Arial Unicode MS"/>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План проведения проверок</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Министерства национальной политики Удмуртской Республики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на 2015 год.</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bl>
            <w:tblPr>
              <w:tblW w:w="21600" w:type="dxa"/>
              <w:tblCellMar>
                <w:left w:w="0" w:type="dxa"/>
                <w:right w:w="0" w:type="dxa"/>
              </w:tblCellMar>
              <w:tblLook w:val="04A0" w:firstRow="1" w:lastRow="0" w:firstColumn="1" w:lastColumn="0" w:noHBand="0" w:noVBand="1"/>
            </w:tblPr>
            <w:tblGrid>
              <w:gridCol w:w="13976"/>
              <w:gridCol w:w="2540"/>
              <w:gridCol w:w="5084"/>
            </w:tblGrid>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Наименование учреждения</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Сроки исполнения</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lastRenderedPageBreak/>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lastRenderedPageBreak/>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Проверяемый период</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Региональное общественное движение Удмуртской Республики «Ассоциация учителей родного языка «</w:t>
                  </w:r>
                  <w:proofErr w:type="spellStart"/>
                  <w:r w:rsidRPr="009D4E47">
                    <w:rPr>
                      <w:rFonts w:ascii="Arial Unicode MS" w:eastAsia="Arial Unicode MS" w:hAnsi="Arial Unicode MS" w:cs="Arial Unicode MS" w:hint="eastAsia"/>
                      <w:sz w:val="21"/>
                      <w:szCs w:val="21"/>
                      <w:lang w:eastAsia="ru-RU"/>
                    </w:rPr>
                    <w:t>Выжы</w:t>
                  </w:r>
                  <w:proofErr w:type="spellEnd"/>
                  <w:r w:rsidRPr="009D4E47">
                    <w:rPr>
                      <w:rFonts w:ascii="Arial Unicode MS" w:eastAsia="Arial Unicode MS" w:hAnsi="Arial Unicode MS" w:cs="Arial Unicode MS" w:hint="eastAsia"/>
                      <w:sz w:val="21"/>
                      <w:szCs w:val="21"/>
                      <w:lang w:eastAsia="ru-RU"/>
                    </w:rPr>
                    <w:t>»</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2 квартал</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 01.01.2014 г. по дату начала проверки</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Ассоциация молодёжных национально-культурных общественных объединений Удмуртской Республики «Вместе»</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3 квартал</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 01.01.2014 г. по дату начала проверки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Автономная некоммерческая организация «Информационно-образовательный центр «</w:t>
                  </w:r>
                  <w:proofErr w:type="spellStart"/>
                  <w:r w:rsidRPr="009D4E47">
                    <w:rPr>
                      <w:rFonts w:ascii="Arial Unicode MS" w:eastAsia="Arial Unicode MS" w:hAnsi="Arial Unicode MS" w:cs="Arial Unicode MS" w:hint="eastAsia"/>
                      <w:sz w:val="21"/>
                      <w:szCs w:val="21"/>
                      <w:lang w:eastAsia="ru-RU"/>
                    </w:rPr>
                    <w:t>Этноресурс</w:t>
                  </w:r>
                  <w:proofErr w:type="spellEnd"/>
                  <w:r w:rsidRPr="009D4E47">
                    <w:rPr>
                      <w:rFonts w:ascii="Arial Unicode MS" w:eastAsia="Arial Unicode MS" w:hAnsi="Arial Unicode MS" w:cs="Arial Unicode MS" w:hint="eastAsia"/>
                      <w:sz w:val="21"/>
                      <w:szCs w:val="21"/>
                      <w:lang w:eastAsia="ru-RU"/>
                    </w:rPr>
                    <w:t>»</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4 квартал</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 01.01.2014 г. по дату начала проверки</w:t>
                  </w:r>
                </w:p>
              </w:tc>
            </w:tr>
          </w:tbl>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r>
      <w:tr w:rsidR="009D4E47" w:rsidRPr="009D4E47" w:rsidTr="009D4E47">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180" w:line="240" w:lineRule="auto"/>
              <w:rPr>
                <w:rFonts w:ascii="Arial Unicode MS" w:eastAsia="Arial Unicode MS" w:hAnsi="Arial Unicode MS" w:cs="Arial Unicode MS"/>
                <w:sz w:val="21"/>
                <w:szCs w:val="21"/>
                <w:lang w:eastAsia="ru-RU"/>
              </w:rPr>
            </w:pPr>
            <w:r w:rsidRPr="009D4E47">
              <w:rPr>
                <w:rFonts w:ascii="Arial Unicode MS" w:eastAsia="Arial Unicode MS" w:hAnsi="Arial Unicode MS" w:cs="Arial Unicode MS" w:hint="eastAsia"/>
                <w:sz w:val="21"/>
                <w:szCs w:val="21"/>
                <w:lang w:eastAsia="ru-RU"/>
              </w:rPr>
              <w:t> План проведения проверок финансово-хозяйственной деятельности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БУ УР «Дом Дружбы народов» в 2015году.</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bl>
            <w:tblPr>
              <w:tblW w:w="21600" w:type="dxa"/>
              <w:jc w:val="center"/>
              <w:tblCellMar>
                <w:left w:w="0" w:type="dxa"/>
                <w:right w:w="0" w:type="dxa"/>
              </w:tblCellMar>
              <w:tblLook w:val="04A0" w:firstRow="1" w:lastRow="0" w:firstColumn="1" w:lastColumn="0" w:noHBand="0" w:noVBand="1"/>
            </w:tblPr>
            <w:tblGrid>
              <w:gridCol w:w="6330"/>
              <w:gridCol w:w="15270"/>
            </w:tblGrid>
            <w:tr w:rsidR="009D4E47" w:rsidRPr="009D4E47" w:rsidTr="009D4E47">
              <w:trPr>
                <w:jc w:val="center"/>
              </w:trPr>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Сроки проведения проверки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Проверяемый период</w:t>
                  </w:r>
                </w:p>
              </w:tc>
            </w:tr>
            <w:tr w:rsidR="009D4E47" w:rsidRPr="009D4E47" w:rsidTr="009D4E47">
              <w:trPr>
                <w:jc w:val="center"/>
              </w:trPr>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II квартал</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 01.01.15г. по дату начала проверки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r>
            <w:tr w:rsidR="009D4E47" w:rsidRPr="009D4E47" w:rsidTr="009D4E47">
              <w:trPr>
                <w:jc w:val="center"/>
              </w:trPr>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IV квартал</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 даты подписания акта предыдущей проверки по дату начала проверки</w:t>
                  </w:r>
                </w:p>
              </w:tc>
            </w:tr>
          </w:tbl>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r>
      <w:tr w:rsidR="009D4E47" w:rsidRPr="009D4E47" w:rsidTr="009D4E47">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outlineLvl w:val="2"/>
              <w:rPr>
                <w:rFonts w:ascii="Arial Unicode MS" w:eastAsia="Arial Unicode MS" w:hAnsi="Arial Unicode MS" w:cs="Arial Unicode MS"/>
                <w:b/>
                <w:bCs/>
                <w:sz w:val="27"/>
                <w:szCs w:val="27"/>
                <w:lang w:eastAsia="ru-RU"/>
              </w:rPr>
            </w:pPr>
            <w:r w:rsidRPr="009D4E47">
              <w:rPr>
                <w:rFonts w:ascii="Arial Unicode MS" w:eastAsia="Arial Unicode MS" w:hAnsi="Arial Unicode MS" w:cs="Arial Unicode MS" w:hint="eastAsia"/>
                <w:b/>
                <w:bCs/>
                <w:sz w:val="27"/>
                <w:szCs w:val="27"/>
                <w:lang w:eastAsia="ru-RU"/>
              </w:rPr>
              <w:t>Внутренние проверки Министерства национальной политики УР</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В соответствии с Планом проведения проверок на 2015 год Министерством национальной политики Удмуртской Республики проведена проверка целевого использования средств бюджета Удмуртской Республики, выделенных Министерством национальной политики Удмуртской Республики Региональному общественному движению Удмуртской Республики «Ассоциация учителей родного языка «</w:t>
            </w:r>
            <w:proofErr w:type="spellStart"/>
            <w:r w:rsidRPr="009D4E47">
              <w:rPr>
                <w:rFonts w:ascii="Arial Unicode MS" w:eastAsia="Arial Unicode MS" w:hAnsi="Arial Unicode MS" w:cs="Arial Unicode MS" w:hint="eastAsia"/>
                <w:sz w:val="21"/>
                <w:szCs w:val="21"/>
                <w:lang w:eastAsia="ru-RU"/>
              </w:rPr>
              <w:t>Выжы</w:t>
            </w:r>
            <w:proofErr w:type="spellEnd"/>
            <w:r w:rsidRPr="009D4E47">
              <w:rPr>
                <w:rFonts w:ascii="Arial Unicode MS" w:eastAsia="Arial Unicode MS" w:hAnsi="Arial Unicode MS" w:cs="Arial Unicode MS" w:hint="eastAsia"/>
                <w:sz w:val="21"/>
                <w:szCs w:val="21"/>
                <w:lang w:eastAsia="ru-RU"/>
              </w:rPr>
              <w:t>» за период с 01.01.2014г. по 01.06.2015г. По результатам проверки установлены отдельные нарушения Закона «О бухгалтерском у</w:t>
            </w:r>
            <w:r w:rsidRPr="009D4E47">
              <w:rPr>
                <w:rFonts w:ascii="Arial Unicode MS" w:eastAsia="Arial Unicode MS" w:hAnsi="Arial Unicode MS" w:cs="Arial Unicode MS" w:hint="eastAsia"/>
                <w:sz w:val="21"/>
                <w:szCs w:val="21"/>
                <w:lang w:eastAsia="ru-RU"/>
              </w:rPr>
              <w:lastRenderedPageBreak/>
              <w:t>чете» № 402-ФЗ, нецелевого расходования средств бюджета Удмуртской Республики не выявлено.</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В соответствии с Планом проведения проверок на 2015 год Министерством национальной политики Удмуртской Республики проведена проверка целевого использования средств бюджета Удмуртской Республики, выделенных Министерством национальной политики Удмуртской Республики «Ассоциации молодежных национально-культурных общественных объединений Удмуртской Республики «Вместе» за период с 01.01.2014г. по 01.09.2015г.</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По результатам проверки установлены отдельные нарушения Закона «О бухгалтерском учете» № 402-ФЗ, нецелевого расходования средств бюджета Удмуртской Республики не выявлено.</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В соответствии с Планом проведения проверок на 2015 год Министерством национальной политики Удмуртской Республики проведена проверка целевого использования средств бюджета Удмуртской Республики, выделенных </w:t>
            </w:r>
            <w:proofErr w:type="gramStart"/>
            <w:r w:rsidRPr="009D4E47">
              <w:rPr>
                <w:rFonts w:ascii="Arial Unicode MS" w:eastAsia="Arial Unicode MS" w:hAnsi="Arial Unicode MS" w:cs="Arial Unicode MS" w:hint="eastAsia"/>
                <w:sz w:val="21"/>
                <w:szCs w:val="21"/>
                <w:lang w:eastAsia="ru-RU"/>
              </w:rPr>
              <w:t>Министерством  национальной</w:t>
            </w:r>
            <w:proofErr w:type="gramEnd"/>
            <w:r w:rsidRPr="009D4E47">
              <w:rPr>
                <w:rFonts w:ascii="Arial Unicode MS" w:eastAsia="Arial Unicode MS" w:hAnsi="Arial Unicode MS" w:cs="Arial Unicode MS" w:hint="eastAsia"/>
                <w:sz w:val="21"/>
                <w:szCs w:val="21"/>
                <w:lang w:eastAsia="ru-RU"/>
              </w:rPr>
              <w:t xml:space="preserve"> политики Удмуртской Республики Автономной некоммерческой организации  «Информационно-образовательный центр </w:t>
            </w:r>
            <w:proofErr w:type="spellStart"/>
            <w:r w:rsidRPr="009D4E47">
              <w:rPr>
                <w:rFonts w:ascii="Arial Unicode MS" w:eastAsia="Arial Unicode MS" w:hAnsi="Arial Unicode MS" w:cs="Arial Unicode MS" w:hint="eastAsia"/>
                <w:sz w:val="21"/>
                <w:szCs w:val="21"/>
                <w:lang w:eastAsia="ru-RU"/>
              </w:rPr>
              <w:t>Этноресурс</w:t>
            </w:r>
            <w:proofErr w:type="spellEnd"/>
            <w:r w:rsidRPr="009D4E47">
              <w:rPr>
                <w:rFonts w:ascii="Arial Unicode MS" w:eastAsia="Arial Unicode MS" w:hAnsi="Arial Unicode MS" w:cs="Arial Unicode MS" w:hint="eastAsia"/>
                <w:sz w:val="21"/>
                <w:szCs w:val="21"/>
                <w:lang w:eastAsia="ru-RU"/>
              </w:rPr>
              <w:t>» за период с 01.01.2014г. по 01.11.2015г.</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По результатам проверки установлены отдельные нарушения Закона «О бухгалтерском учете» № 402-ФЗ, нецелевого расходования средств бюджета Удмуртской Республики   не выявлено.</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b/>
                <w:bCs/>
                <w:sz w:val="21"/>
                <w:szCs w:val="21"/>
                <w:lang w:eastAsia="ru-RU"/>
              </w:rPr>
              <w:t>Внешние проверки министерства национальной политики УР</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В соответствии с планом работы Государственного контрольного комитета Удмуртской Республики на II полугодие 2015 года проведена проверка соблюдения бюджетного законодательства участником бюджетного процесса Министерством национальной политики Удмуртской Республики в процессе исполнения бюджета Удмуртской Республики в 2014-2015 годах и при формировании бюджета на 2016 год и плановый период 2017-2018 годов.</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xml:space="preserve">Проверкой выявлены отдельные нарушения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 утвержденного Постановлением Правительства Удмуртской Республики от 30.07.2012г. № </w:t>
            </w:r>
            <w:r w:rsidRPr="009D4E47">
              <w:rPr>
                <w:rFonts w:ascii="Arial Unicode MS" w:eastAsia="Arial Unicode MS" w:hAnsi="Arial Unicode MS" w:cs="Arial Unicode MS" w:hint="eastAsia"/>
                <w:sz w:val="21"/>
                <w:szCs w:val="21"/>
                <w:lang w:eastAsia="ru-RU"/>
              </w:rPr>
              <w:lastRenderedPageBreak/>
              <w:t>335. Фактов нецелевого использования средств бюджета Удмуртской Республики не установлено.</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b/>
                <w:bCs/>
                <w:sz w:val="21"/>
                <w:szCs w:val="21"/>
                <w:lang w:eastAsia="ru-RU"/>
              </w:rPr>
              <w:t>Контроль в подведомственном учреждении.</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На основании приказа Министерства национальной политики Удмуртской Республики от 26.05.2015г. № 01-02/038 проведена ревизия полноты и достоверности отчетности выполнения государственного задания БУ УР «Дом Дружбы народов за период с 01.01.2015г. по 30.04.2015г.</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По результатам ревизии установлены отдельные замечания по расходованию бюджетных средств и средств, полученных от приносящей доход деятельности учреждения, на выплату заработной платы в части выплат стимулирующего характера.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На основании приказа Министерства национальной политики Удмуртской Республики от 22.12.2015г. № 01/2-03/50 проведена ревизия полноты и достоверности отчетности выполнения государственного задания БУ УР «Дом Дружбы народов за период с 01.05.2015г. по 30.11.2015г.</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Ревизией установлено нарушение в части организации работ по погашению просроченной дебиторской задолженности. Нарушения, выявленные при предыдущей проверке, устранены.</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r>
      <w:tr w:rsidR="009D4E47" w:rsidRPr="009D4E47" w:rsidTr="009D4E47">
        <w:trPr>
          <w:tblCellSpacing w:w="15" w:type="dxa"/>
        </w:trPr>
        <w:tc>
          <w:tcPr>
            <w:tcW w:w="0" w:type="auto"/>
            <w:tcBorders>
              <w:top w:val="nil"/>
              <w:left w:val="nil"/>
              <w:bottom w:val="nil"/>
              <w:right w:val="nil"/>
            </w:tcBorders>
            <w:shd w:val="clear" w:color="auto" w:fill="FFFFFF"/>
            <w:tcMar>
              <w:top w:w="60" w:type="dxa"/>
              <w:left w:w="60" w:type="dxa"/>
              <w:bottom w:w="60" w:type="dxa"/>
              <w:right w:w="60" w:type="dxa"/>
            </w:tcMar>
            <w:hideMark/>
          </w:tcPr>
          <w:p w:rsidR="009D4E47" w:rsidRPr="009D4E47" w:rsidRDefault="009D4E47" w:rsidP="009D4E47">
            <w:pPr>
              <w:spacing w:after="180" w:line="240" w:lineRule="auto"/>
              <w:rPr>
                <w:rFonts w:ascii="Arial Unicode MS" w:eastAsia="Arial Unicode MS" w:hAnsi="Arial Unicode MS" w:cs="Arial Unicode MS"/>
                <w:sz w:val="21"/>
                <w:szCs w:val="21"/>
                <w:lang w:eastAsia="ru-RU"/>
              </w:rPr>
            </w:pPr>
            <w:r w:rsidRPr="009D4E47">
              <w:rPr>
                <w:rFonts w:ascii="Arial Unicode MS" w:eastAsia="Arial Unicode MS" w:hAnsi="Arial Unicode MS" w:cs="Arial Unicode MS" w:hint="eastAsia"/>
                <w:sz w:val="21"/>
                <w:szCs w:val="21"/>
                <w:lang w:eastAsia="ru-RU"/>
              </w:rPr>
              <w:lastRenderedPageBreak/>
              <w:t> </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План устранения замечаний по результатам проверки соблюдения бюджетного законодательства Министерством национальной политики Удмуртской Республики бюджетного процесса в процессе исполнения бюджета Удмуртской Республики в 2014-2015 годах и при формировании бюджета на 2016 год и плановый период 2017-2018 годов</w:t>
            </w:r>
          </w:p>
          <w:tbl>
            <w:tblPr>
              <w:tblW w:w="21600" w:type="dxa"/>
              <w:tblCellMar>
                <w:left w:w="0" w:type="dxa"/>
                <w:right w:w="0" w:type="dxa"/>
              </w:tblCellMar>
              <w:tblLook w:val="04A0" w:firstRow="1" w:lastRow="0" w:firstColumn="1" w:lastColumn="0" w:noHBand="0" w:noVBand="1"/>
            </w:tblPr>
            <w:tblGrid>
              <w:gridCol w:w="668"/>
              <w:gridCol w:w="18872"/>
              <w:gridCol w:w="2060"/>
            </w:tblGrid>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п/п</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Наименование</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Сроки</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1.</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Внести изменения в бюджетную роспись 2015 года в соответствии с утвержденными сметами</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до 20 ноября</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2015 года</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lastRenderedPageBreak/>
                    <w:t>2.</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Разработать нормативно-правовые документы финансово-экономического обоснования затрат на проведение мероприятий, реализацию проектов</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до 20 ноября 2015 года</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3.</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Представить в Минфин УР информацию о прогнозируемых поступлениях в бюджет УР; сведения, необходимые для составления и ведения кассового плана</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в соответствующие сроки</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4.</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Внести изменения в</w:t>
                  </w:r>
                  <w:r w:rsidRPr="009D4E47">
                    <w:rPr>
                      <w:rFonts w:ascii="Arial Unicode MS" w:eastAsia="Arial Unicode MS" w:hAnsi="Arial Unicode MS" w:cs="Arial Unicode MS" w:hint="eastAsia"/>
                      <w:sz w:val="21"/>
                      <w:szCs w:val="21"/>
                      <w:lang w:eastAsia="ru-RU"/>
                    </w:rPr>
                    <w:br/>
                    <w:t>Постановление Правительства УР от 20.04.2015 N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до 30 ноября</w:t>
                  </w:r>
                </w:p>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2015 года</w:t>
                  </w:r>
                </w:p>
              </w:tc>
            </w:tr>
            <w:tr w:rsidR="009D4E47" w:rsidRPr="009D4E47" w:rsidTr="009D4E47">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5.</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Провести аттестацию работников БУ УР «Дом Дружбы народов»</w:t>
                  </w:r>
                </w:p>
              </w:tc>
              <w:tc>
                <w:tcPr>
                  <w:tcW w:w="0" w:type="auto"/>
                  <w:tcBorders>
                    <w:top w:val="nil"/>
                    <w:left w:val="nil"/>
                    <w:bottom w:val="nil"/>
                    <w:right w:val="nil"/>
                  </w:tcBorders>
                  <w:tcMar>
                    <w:top w:w="60" w:type="dxa"/>
                    <w:left w:w="150" w:type="dxa"/>
                    <w:bottom w:w="60" w:type="dxa"/>
                    <w:right w:w="150" w:type="dxa"/>
                  </w:tcMar>
                  <w:hideMark/>
                </w:tcPr>
                <w:p w:rsidR="009D4E47" w:rsidRPr="009D4E47" w:rsidRDefault="009D4E47" w:rsidP="009D4E47">
                  <w:pPr>
                    <w:spacing w:after="180" w:line="240" w:lineRule="auto"/>
                    <w:rPr>
                      <w:rFonts w:ascii="Arial Unicode MS" w:eastAsia="Arial Unicode MS" w:hAnsi="Arial Unicode MS" w:cs="Arial Unicode MS" w:hint="eastAsia"/>
                      <w:sz w:val="21"/>
                      <w:szCs w:val="21"/>
                      <w:lang w:eastAsia="ru-RU"/>
                    </w:rPr>
                  </w:pPr>
                  <w:r w:rsidRPr="009D4E47">
                    <w:rPr>
                      <w:rFonts w:ascii="Arial Unicode MS" w:eastAsia="Arial Unicode MS" w:hAnsi="Arial Unicode MS" w:cs="Arial Unicode MS" w:hint="eastAsia"/>
                      <w:sz w:val="21"/>
                      <w:szCs w:val="21"/>
                      <w:lang w:eastAsia="ru-RU"/>
                    </w:rPr>
                    <w:t>до 20 ноября 2015 года</w:t>
                  </w:r>
                </w:p>
              </w:tc>
            </w:tr>
          </w:tbl>
          <w:p w:rsidR="009D4E47" w:rsidRPr="009D4E47" w:rsidRDefault="009D4E47" w:rsidP="009D4E47">
            <w:pPr>
              <w:spacing w:after="0" w:line="240" w:lineRule="auto"/>
              <w:rPr>
                <w:rFonts w:ascii="Arial Unicode MS" w:eastAsia="Arial Unicode MS" w:hAnsi="Arial Unicode MS" w:cs="Arial Unicode MS" w:hint="eastAsia"/>
                <w:sz w:val="21"/>
                <w:szCs w:val="21"/>
                <w:lang w:eastAsia="ru-RU"/>
              </w:rPr>
            </w:pPr>
          </w:p>
        </w:tc>
        <w:tc>
          <w:tcPr>
            <w:tcW w:w="0" w:type="auto"/>
            <w:shd w:val="clear" w:color="auto" w:fill="FFFFFF"/>
            <w:vAlign w:val="cente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9D4E47" w:rsidRPr="009D4E47" w:rsidRDefault="009D4E47" w:rsidP="009D4E47">
            <w:pPr>
              <w:spacing w:after="0" w:line="240" w:lineRule="auto"/>
              <w:rPr>
                <w:rFonts w:ascii="Times New Roman" w:eastAsia="Times New Roman" w:hAnsi="Times New Roman" w:cs="Times New Roman"/>
                <w:sz w:val="20"/>
                <w:szCs w:val="20"/>
                <w:lang w:eastAsia="ru-RU"/>
              </w:rPr>
            </w:pPr>
          </w:p>
        </w:tc>
      </w:tr>
    </w:tbl>
    <w:p w:rsidR="009F53AA" w:rsidRPr="009D4E47" w:rsidRDefault="009F53AA" w:rsidP="009D4E47"/>
    <w:sectPr w:rsidR="009F53AA" w:rsidRPr="009D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9"/>
    <w:rsid w:val="009D4E47"/>
    <w:rsid w:val="009F53AA"/>
    <w:rsid w:val="00B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DB68-7626-4DE1-93F4-64491A86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4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4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4E4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4E4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9D4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5359">
      <w:bodyDiv w:val="1"/>
      <w:marLeft w:val="0"/>
      <w:marRight w:val="0"/>
      <w:marTop w:val="0"/>
      <w:marBottom w:val="0"/>
      <w:divBdr>
        <w:top w:val="none" w:sz="0" w:space="0" w:color="auto"/>
        <w:left w:val="none" w:sz="0" w:space="0" w:color="auto"/>
        <w:bottom w:val="none" w:sz="0" w:space="0" w:color="auto"/>
        <w:right w:val="none" w:sz="0" w:space="0" w:color="auto"/>
      </w:divBdr>
    </w:div>
    <w:div w:id="2082215934">
      <w:bodyDiv w:val="1"/>
      <w:marLeft w:val="0"/>
      <w:marRight w:val="0"/>
      <w:marTop w:val="0"/>
      <w:marBottom w:val="0"/>
      <w:divBdr>
        <w:top w:val="none" w:sz="0" w:space="0" w:color="auto"/>
        <w:left w:val="none" w:sz="0" w:space="0" w:color="auto"/>
        <w:bottom w:val="none" w:sz="0" w:space="0" w:color="auto"/>
        <w:right w:val="none" w:sz="0" w:space="0" w:color="auto"/>
      </w:divBdr>
      <w:divsChild>
        <w:div w:id="1085612311">
          <w:marLeft w:val="0"/>
          <w:marRight w:val="0"/>
          <w:marTop w:val="0"/>
          <w:marBottom w:val="0"/>
          <w:divBdr>
            <w:top w:val="none" w:sz="0" w:space="0" w:color="auto"/>
            <w:left w:val="none" w:sz="0" w:space="0" w:color="auto"/>
            <w:bottom w:val="none" w:sz="0" w:space="0" w:color="auto"/>
            <w:right w:val="none" w:sz="0" w:space="0" w:color="auto"/>
          </w:divBdr>
        </w:div>
        <w:div w:id="1654069038">
          <w:marLeft w:val="0"/>
          <w:marRight w:val="0"/>
          <w:marTop w:val="0"/>
          <w:marBottom w:val="0"/>
          <w:divBdr>
            <w:top w:val="none" w:sz="0" w:space="0" w:color="auto"/>
            <w:left w:val="none" w:sz="0" w:space="0" w:color="auto"/>
            <w:bottom w:val="none" w:sz="0" w:space="0" w:color="auto"/>
            <w:right w:val="none" w:sz="0" w:space="0" w:color="auto"/>
          </w:divBdr>
        </w:div>
        <w:div w:id="1104808120">
          <w:marLeft w:val="0"/>
          <w:marRight w:val="0"/>
          <w:marTop w:val="0"/>
          <w:marBottom w:val="0"/>
          <w:divBdr>
            <w:top w:val="none" w:sz="0" w:space="0" w:color="auto"/>
            <w:left w:val="none" w:sz="0" w:space="0" w:color="auto"/>
            <w:bottom w:val="none" w:sz="0" w:space="0" w:color="auto"/>
            <w:right w:val="none" w:sz="0" w:space="0" w:color="auto"/>
          </w:divBdr>
        </w:div>
        <w:div w:id="1904482863">
          <w:marLeft w:val="0"/>
          <w:marRight w:val="0"/>
          <w:marTop w:val="0"/>
          <w:marBottom w:val="0"/>
          <w:divBdr>
            <w:top w:val="none" w:sz="0" w:space="0" w:color="auto"/>
            <w:left w:val="none" w:sz="0" w:space="0" w:color="auto"/>
            <w:bottom w:val="none" w:sz="0" w:space="0" w:color="auto"/>
            <w:right w:val="none" w:sz="0" w:space="0" w:color="auto"/>
          </w:divBdr>
        </w:div>
        <w:div w:id="119686037">
          <w:marLeft w:val="0"/>
          <w:marRight w:val="0"/>
          <w:marTop w:val="0"/>
          <w:marBottom w:val="0"/>
          <w:divBdr>
            <w:top w:val="none" w:sz="0" w:space="0" w:color="auto"/>
            <w:left w:val="none" w:sz="0" w:space="0" w:color="auto"/>
            <w:bottom w:val="none" w:sz="0" w:space="0" w:color="auto"/>
            <w:right w:val="none" w:sz="0" w:space="0" w:color="auto"/>
          </w:divBdr>
        </w:div>
        <w:div w:id="1071393241">
          <w:marLeft w:val="0"/>
          <w:marRight w:val="0"/>
          <w:marTop w:val="0"/>
          <w:marBottom w:val="0"/>
          <w:divBdr>
            <w:top w:val="none" w:sz="0" w:space="0" w:color="auto"/>
            <w:left w:val="none" w:sz="0" w:space="0" w:color="auto"/>
            <w:bottom w:val="none" w:sz="0" w:space="0" w:color="auto"/>
            <w:right w:val="none" w:sz="0" w:space="0" w:color="auto"/>
          </w:divBdr>
        </w:div>
        <w:div w:id="21227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2020-07-23T18:53:00Z</dcterms:created>
  <dcterms:modified xsi:type="dcterms:W3CDTF">2020-07-23T18:53:00Z</dcterms:modified>
</cp:coreProperties>
</file>