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77A9" w:rsidTr="00CF7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7A9" w:rsidRDefault="00CF77A9" w:rsidP="00CF77A9">
            <w:pPr>
              <w:pStyle w:val="2"/>
              <w:spacing w:before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 ПЛАН</w:t>
            </w:r>
          </w:p>
          <w:p w:rsidR="00CF77A9" w:rsidRDefault="00CF77A9" w:rsidP="00CF77A9">
            <w:pPr>
              <w:pStyle w:val="2"/>
              <w:spacing w:before="0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 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</w:rPr>
              <w:t>проведения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плановых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проверок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подведомственных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организаций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2016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год</w:t>
            </w:r>
            <w:proofErr w:type="spellEnd"/>
          </w:p>
          <w:p w:rsidR="00CF77A9" w:rsidRDefault="00CF77A9" w:rsidP="00CF77A9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                                              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CF77A9" w:rsidRDefault="00CF77A9" w:rsidP="00CF77A9">
            <w:pPr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                                               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br/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Плановая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ревизия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полноты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достоверности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отчетности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выполнения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государственного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задания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соблюдения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законодательства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Российской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Федерации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о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контрактной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системе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сфере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закупок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товаров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работ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услуг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для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обеспечения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государственных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нужд</w:t>
            </w:r>
            <w:proofErr w:type="spellEnd"/>
          </w:p>
          <w:p w:rsidR="00CF77A9" w:rsidRDefault="00CF77A9" w:rsidP="00CF77A9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                                                                 БУ УР «Дом Дружбы народов» на 2016 год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12960"/>
            </w:tblGrid>
            <w:tr w:rsidR="00CF77A9" w:rsidTr="00CF77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Сроки проведения проверки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Проверяемый период</w:t>
                  </w:r>
                </w:p>
              </w:tc>
            </w:tr>
            <w:tr w:rsidR="00CF77A9" w:rsidTr="00CF77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 </w:t>
                  </w:r>
                </w:p>
              </w:tc>
            </w:tr>
            <w:tr w:rsidR="00CF77A9" w:rsidTr="00CF77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IV квартал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с даты подписания акта предыдущей проверки по дату начала проверки</w:t>
                  </w:r>
                </w:p>
              </w:tc>
            </w:tr>
          </w:tbl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CF77A9" w:rsidRDefault="00CF77A9" w:rsidP="00CF77A9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Style w:val="a5"/>
                <w:rFonts w:ascii="Arial Unicode MS" w:eastAsia="Arial Unicode MS" w:hAnsi="Arial Unicode MS" w:cs="Arial Unicode MS" w:hint="eastAsia"/>
                <w:sz w:val="21"/>
                <w:szCs w:val="21"/>
              </w:rPr>
              <w:t>                                                         </w:t>
            </w:r>
          </w:p>
          <w:p w:rsidR="00CF77A9" w:rsidRDefault="00CF77A9" w:rsidP="00CF77A9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Style w:val="a5"/>
                <w:rFonts w:ascii="Arial Unicode MS" w:eastAsia="Arial Unicode MS" w:hAnsi="Arial Unicode MS" w:cs="Arial Unicode MS" w:hint="eastAsia"/>
                <w:sz w:val="21"/>
                <w:szCs w:val="21"/>
              </w:rPr>
              <w:t>                                       План проведения проверок</w:t>
            </w:r>
          </w:p>
          <w:p w:rsidR="00CF77A9" w:rsidRDefault="00CF77A9" w:rsidP="00CF77A9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Style w:val="a5"/>
                <w:rFonts w:ascii="Arial Unicode MS" w:eastAsia="Arial Unicode MS" w:hAnsi="Arial Unicode MS" w:cs="Arial Unicode MS" w:hint="eastAsia"/>
                <w:sz w:val="21"/>
                <w:szCs w:val="21"/>
              </w:rPr>
              <w:t>             Министерства национальной политики Удмуртской Республики 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</w:t>
            </w:r>
            <w:r>
              <w:rPr>
                <w:rStyle w:val="a5"/>
                <w:rFonts w:ascii="Arial Unicode MS" w:eastAsia="Arial Unicode MS" w:hAnsi="Arial Unicode MS" w:cs="Arial Unicode MS" w:hint="eastAsia"/>
                <w:sz w:val="21"/>
                <w:szCs w:val="21"/>
              </w:rPr>
              <w:t>а 2016 год</w:t>
            </w:r>
          </w:p>
          <w:p w:rsidR="00CF77A9" w:rsidRDefault="00CF77A9" w:rsidP="00CF77A9">
            <w:pPr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5"/>
              <w:gridCol w:w="1944"/>
              <w:gridCol w:w="3936"/>
            </w:tblGrid>
            <w:tr w:rsidR="00CF77A9" w:rsidTr="00CF77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Проверяемый период</w:t>
                  </w:r>
                </w:p>
              </w:tc>
            </w:tr>
            <w:tr w:rsidR="00CF77A9" w:rsidTr="00CF77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Ижевское казачье общество Верхнекамского отдельного казачьего общества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2 квартал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с 01.01.2015 г. по дату начала проверки</w:t>
                  </w:r>
                </w:p>
              </w:tc>
            </w:tr>
            <w:tr w:rsidR="00CF77A9" w:rsidTr="00CF77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Удмуртская республиканская общественная организация марийского народа, проживающего в Удмуртской Республике "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Одо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 xml:space="preserve"> Мари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Ушем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4 квартал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CF77A9" w:rsidRDefault="00CF77A9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с 01.01.2015 г. по дату начала проверки</w:t>
                  </w:r>
                </w:p>
              </w:tc>
            </w:tr>
          </w:tbl>
          <w:p w:rsidR="00CF77A9" w:rsidRDefault="00CF77A9">
            <w:pP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</w:p>
        </w:tc>
      </w:tr>
      <w:tr w:rsidR="00CF77A9" w:rsidTr="00CF7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7A9" w:rsidRDefault="00CF77A9" w:rsidP="00CF77A9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Внешние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проверки</w:t>
            </w:r>
            <w:proofErr w:type="spellEnd"/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 В соответствии с Планом работы Государственного контрольного комитета Удмуртской Республики на 1полугодие 2016 года проведена внешняя проверка бюджетной отчетности за 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2015 год главного администратора бюджетных средств-министерства национальной политики Удмуртской Республики.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Проверка показателей бюджетной отчетности показала, что отчетность за 2015год министерством представлена с соблюдением сроков, достоверна, соответствует требованиям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ст.264.1,264.2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Бюджетного кодекса РФ, Инструкции № 191н. Заполнение отдельных форм отчетности не соответствует требованиям Инструкции № 191н.</w:t>
            </w:r>
          </w:p>
          <w:p w:rsidR="00CF77A9" w:rsidRDefault="00CF77A9" w:rsidP="00CF77A9">
            <w:pPr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Style w:val="a5"/>
                <w:rFonts w:ascii="Arial Unicode MS" w:eastAsia="Arial Unicode MS" w:hAnsi="Arial Unicode MS" w:cs="Arial Unicode MS" w:hint="eastAsia"/>
                <w:sz w:val="21"/>
                <w:szCs w:val="21"/>
              </w:rPr>
              <w:t>Внутренние</w:t>
            </w:r>
            <w:proofErr w:type="spellEnd"/>
            <w:r>
              <w:rPr>
                <w:rStyle w:val="a5"/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5"/>
                <w:rFonts w:ascii="Arial Unicode MS" w:eastAsia="Arial Unicode MS" w:hAnsi="Arial Unicode MS" w:cs="Arial Unicode MS" w:hint="eastAsia"/>
                <w:sz w:val="21"/>
                <w:szCs w:val="21"/>
              </w:rPr>
              <w:t>проверки</w:t>
            </w:r>
            <w:proofErr w:type="spellEnd"/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В соответствии с Планом проведения проверок на 2016 год Министерством национальной политики Удмуртской Республики проведена проверка целевого использования средств бюджета Удмуртской Республики, выделенных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Министерством  национальной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политики Удмуртской Республики Ижевскому городскому казачьему обществу Верхнекамского отдельного казачьего округа за период с 01.01.2015г. по 01.06.2016г.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По результатам проверки установлены отдельные нарушения Закона «О бухгалтерском учете» № 402-ФЗ, нецелевого расходования средств бюджета Удмуртской Республики не выявлено.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В соответствии с Планом проведения проверок на 2016 год Министерством национальной политики Удмуртской Республики проведена проверка целевого использования средств бюджета Удмуртской Республики, выделенных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Министерством  национальной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политики Удмуртской Республики Удмуртской Республиканской общественной организации марийского народа, проживающего в Удмуртской Республике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Одо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Мари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Ушем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 за период с 01.01.2015г. по 01.12.2016г.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По результатам проверки установлены отдельные нарушения Закона «О бухгалтерском учете» № 402-ФЗ, нецелевого расходования средств бюджета Удмуртской Республики не выявлено.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 связи с проведением анализа состояния дебиторской задолженности по министерству за первое полугодие 2016г. и в целях обеспечения контроля исполнения Постановления Правительства УР от 20.04.2015г. №177(ред. от 29.12.2015) «Об утверждении Положения о предоставлении субсидий общественным объединениям национально-культурной направленности на реализацию проектов, программ и проведение мероприятий национально-культурной направленности» проведена проверка целевого использования средств бюджета Удмуртской Республики, выделенных Министерством национальной политики Удмуртской Республики Автономной некоммерческой организации «Информационно- образовательный центр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Этноресурс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», проверяемый период с 01.01.2016г. по 01.07.2016г.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По результатам проверки установлены отдельные нарушения Положения, нецелевого расходования средств бюджета Удмуртской Республики не выявлено.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В соответствии с приказом от 03.11.2016г. № 01/1-02/193 проведена плановая ревизия полноты и достоверности отчетности выполнения государственного задания за период с 01.12.2015 по 31.10.2016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г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.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соблюдения законодательства Российской Федерации о контрактной системе в сфере закупок товаров, работ, услуг для обеспечения государственных нужд за период с 01.01.2016г. по 31.10.2016г.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Ревизией установлены отдельные нарушения приказа министерства финансов Российской Федерации от 01.12.2010 г. № 157н, которые в ходе ревизии устранены.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 части соблюдения законодательства Российской Федерации о контрактной системе в сфере закупок товаров, работ, услуг для обеспечения государственных нужд установлено нарушение п.2 статьи 39 Федерального закона от 05.04.2013г №44-ФЗ – отсутствует порядок работы комиссии по осуществлению закупок, в ходе ревизии устранено.</w:t>
            </w:r>
          </w:p>
          <w:p w:rsidR="00CF77A9" w:rsidRDefault="00CF77A9" w:rsidP="00CF77A9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</w:tr>
    </w:tbl>
    <w:p w:rsidR="009F53AA" w:rsidRPr="00CF77A9" w:rsidRDefault="009F53AA" w:rsidP="00CF77A9">
      <w:bookmarkStart w:id="0" w:name="_GoBack"/>
      <w:bookmarkEnd w:id="0"/>
    </w:p>
    <w:sectPr w:rsidR="009F53AA" w:rsidRPr="00CF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9"/>
    <w:rsid w:val="009D4E47"/>
    <w:rsid w:val="009F53AA"/>
    <w:rsid w:val="00BF6299"/>
    <w:rsid w:val="00C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DB68-7626-4DE1-93F4-64491A86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4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D4E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CF7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2020-07-23T18:54:00Z</dcterms:created>
  <dcterms:modified xsi:type="dcterms:W3CDTF">2020-07-23T18:54:00Z</dcterms:modified>
</cp:coreProperties>
</file>