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0"/>
        <w:ind w:right="-1"/>
        <w:spacing w:after="0"/>
        <w:outlineLvl w:val="0"/>
        <w:tabs defTabSz="708">
          <w:tab w:val="left" w:pos="426" w:leader="none"/>
          <w:tab w:val="right" w:pos="9356" w:leader="none"/>
        </w:tabs>
        <w:rPr>
          <w:rFonts w:ascii="SL_Times New Roman" w:hAnsi="SL_Times New Roman"/>
          <w:color w:val="000000"/>
          <w:sz w:val="24"/>
          <w:szCs w:val="24"/>
        </w:rPr>
      </w:pPr>
      <w:r>
        <w:rPr>
          <w:rFonts w:ascii="SL_Times New Roman" w:hAnsi="SL_Times New Roman"/>
          <w:color w:val="000000"/>
          <w:sz w:val="24"/>
          <w:szCs w:val="24"/>
        </w:rPr>
        <w:t xml:space="preserve">СОГЛАСОВАНО:                                УТВЕРЖДАЮ:                                СОГЛАСОВАНО:                                        И.о. Министра национальной              Президент                                         Директор БУ УР                                                                                   политики Удмуртской Республики     Армянской общественной              «Дом Дружбы народов»                                        .                                                               организации УР «Урарту»                                             _____________  Э.С. Петров       </w:t>
      </w:r>
      <w:r>
        <w:rPr>
          <w:color w:val="000000"/>
          <w:sz w:val="24"/>
          <w:szCs w:val="24"/>
        </w:rPr>
        <w:t xml:space="preserve">          _________</w:t>
      </w:r>
      <w:r>
        <w:rPr>
          <w:rFonts w:ascii="SL_Times New Roman" w:hAnsi="SL_Times New Roman"/>
          <w:color w:val="000000"/>
          <w:sz w:val="24"/>
          <w:szCs w:val="24"/>
        </w:rPr>
        <w:t xml:space="preserve">М.М. Аракелян        </w:t>
      </w:r>
      <w:r>
        <w:rPr>
          <w:rFonts w:ascii="SL_Times New Roman" w:hAnsi="SL_Times New Roman"/>
          <w:color w:val="000000"/>
          <w:sz w:val="24"/>
          <w:szCs w:val="24"/>
        </w:rPr>
        <w:t xml:space="preserve">       _________ М.А. </w:t>
      </w:r>
      <w:r>
        <w:rPr>
          <w:rFonts w:ascii="SL_Times New Roman" w:hAnsi="SL_Times New Roman"/>
          <w:color w:val="000000"/>
          <w:sz w:val="24"/>
          <w:szCs w:val="24"/>
        </w:rPr>
        <w:t>Шумихин</w:t>
      </w:r>
      <w:r>
        <w:rPr>
          <w:rFonts w:ascii="SL_Times New Roman" w:hAnsi="SL_Times New Roman"/>
          <w:color w:val="000000"/>
          <w:sz w:val="24"/>
          <w:szCs w:val="24"/>
        </w:rPr>
      </w:r>
    </w:p>
    <w:p>
      <w:pPr>
        <w:pStyle w:val="para10"/>
        <w:ind w:left="-284" w:right="-1" w:hanging="142"/>
        <w:spacing w:after="0"/>
        <w:outlineLvl w:val="0"/>
        <w:tabs defTabSz="708">
          <w:tab w:val="left" w:pos="426" w:leader="none"/>
          <w:tab w:val="left" w:pos="6825" w:leader="none"/>
        </w:tabs>
        <w:rPr>
          <w:rFonts w:ascii="SL_Times New Roman" w:hAnsi="SL_Times New Roman"/>
          <w:color w:val="000000"/>
          <w:sz w:val="24"/>
          <w:szCs w:val="24"/>
        </w:rPr>
      </w:pPr>
      <w:r>
        <w:rPr>
          <w:rFonts w:ascii="SL_Times New Roman" w:hAnsi="SL_Times New Roman"/>
          <w:color w:val="000000"/>
          <w:sz w:val="24"/>
          <w:szCs w:val="24"/>
        </w:rPr>
        <w:t xml:space="preserve">       «______» __________ 2022 г.              «______» ________  2022 г.</w:t>
        <w:tab/>
        <w:t xml:space="preserve">          «_____» _________ 2022 г.</w:t>
      </w:r>
    </w:p>
    <w:p>
      <w:pPr>
        <w:pStyle w:val="para10"/>
        <w:ind w:left="-284" w:right="-1" w:hanging="142"/>
        <w:spacing w:after="0"/>
        <w:outlineLvl w:val="0"/>
        <w:tabs defTabSz="708">
          <w:tab w:val="left" w:pos="426" w:leader="none"/>
          <w:tab w:val="left" w:pos="8055" w:leader="none"/>
        </w:tabs>
        <w:rPr>
          <w:rFonts w:ascii="SL_Times New Roman" w:hAnsi="SL_Times New Roman"/>
          <w:color w:val="000000"/>
          <w:sz w:val="24"/>
          <w:szCs w:val="24"/>
        </w:rPr>
      </w:pPr>
      <w:r>
        <w:rPr>
          <w:rFonts w:ascii="SL_Times New Roman" w:hAnsi="SL_Times New Roman"/>
          <w:color w:val="000000"/>
          <w:sz w:val="24"/>
          <w:szCs w:val="24"/>
        </w:rPr>
      </w:r>
    </w:p>
    <w:p>
      <w:pPr>
        <w:pStyle w:val="para10"/>
        <w:ind w:left="-851" w:right="-1"/>
        <w:spacing w:after="0"/>
        <w:jc w:val="center"/>
        <w:outlineLvl w:val="0"/>
        <w:tabs defTabSz="708">
          <w:tab w:val="left" w:pos="426" w:leader="none"/>
          <w:tab w:val="left" w:pos="6825" w:leader="none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10"/>
        <w:ind w:left="-851" w:right="-1"/>
        <w:spacing w:after="0"/>
        <w:jc w:val="center"/>
        <w:outlineLvl w:val="0"/>
        <w:tabs defTabSz="708">
          <w:tab w:val="left" w:pos="426" w:leader="none"/>
          <w:tab w:val="left" w:pos="6825" w:leader="none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проведении </w:t>
      </w:r>
      <w:r>
        <w:rPr>
          <w:color w:val="000000"/>
        </w:rPr>
      </w:r>
      <w:bookmarkStart w:id="0" w:name="_GoBack"/>
      <w:bookmarkEnd w:id="0"/>
      <w:r>
        <w:rPr>
          <w:color w:val="000000"/>
        </w:rPr>
      </w: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V Республиканского</w:t>
      </w:r>
      <w:r>
        <w:rPr>
          <w:color w:val="000000"/>
          <w:sz w:val="24"/>
          <w:szCs w:val="24"/>
        </w:rPr>
        <w:t xml:space="preserve"> чемпионата по </w:t>
      </w:r>
      <w:r>
        <w:rPr>
          <w:color w:val="000000"/>
          <w:sz w:val="24"/>
          <w:szCs w:val="24"/>
        </w:rPr>
        <w:t>футзалу</w:t>
      </w:r>
      <w:r>
        <w:rPr>
          <w:color w:val="000000"/>
          <w:sz w:val="24"/>
          <w:szCs w:val="24"/>
        </w:rPr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национально-культурных объединений Удмуртской Республики,</w:t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посвященного памяти А.А. Волкова, первого Президента </w:t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Удмуртской Республики</w:t>
      </w:r>
    </w:p>
    <w:p>
      <w:pPr>
        <w:pStyle w:val="para2"/>
        <w:ind w:left="-142" w:right="346"/>
        <w:spacing w:before="0" w:after="0" w:beforeAutospacing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</w:r>
    </w:p>
    <w:p>
      <w:pPr>
        <w:pStyle w:val="para2"/>
        <w:ind w:firstLine="568"/>
        <w:spacing w:before="0" w:after="0" w:beforeAutospacing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рамках реализации Стратегии государственной национальной политики Российской Федерации на период до 2025 года, государственной программы Удмуртской Республики «Этносоциальное развитие и гармонизация межэтнических отношений», в целях совершенствования условий, направленных на гармонизацию межнациональных отношений и обеспечении этнополитической стабильности в Удмуртской Республике </w:t>
      </w:r>
      <w:r>
        <w:rPr>
          <w:b w:val="0"/>
          <w:bCs w:val="0"/>
          <w:color w:val="000000"/>
          <w:sz w:val="24"/>
          <w:szCs w:val="24"/>
        </w:rPr>
        <w:t>23 февраля 2022 года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состоится </w:t>
      </w:r>
      <w:r>
        <w:rPr>
          <w:b w:val="0"/>
          <w:bCs w:val="0"/>
          <w:color w:val="000000"/>
          <w:sz w:val="24"/>
          <w:szCs w:val="24"/>
          <w:lang w:val="en-us"/>
        </w:rPr>
        <w:t>X</w:t>
      </w:r>
      <w:r>
        <w:rPr>
          <w:b w:val="0"/>
          <w:bCs w:val="0"/>
          <w:color w:val="000000"/>
          <w:sz w:val="24"/>
          <w:szCs w:val="24"/>
        </w:rPr>
        <w:t>IV</w:t>
      </w:r>
      <w:r>
        <w:rPr>
          <w:b w:val="0"/>
          <w:color w:val="000000"/>
          <w:sz w:val="24"/>
          <w:szCs w:val="24"/>
        </w:rPr>
        <w:t xml:space="preserve"> Республиканский чемпионат по </w:t>
      </w:r>
      <w:r>
        <w:rPr>
          <w:b w:val="0"/>
          <w:color w:val="000000"/>
          <w:sz w:val="24"/>
          <w:szCs w:val="24"/>
        </w:rPr>
        <w:t>футзалу</w:t>
      </w:r>
      <w:r>
        <w:rPr>
          <w:b w:val="0"/>
          <w:color w:val="000000"/>
          <w:sz w:val="24"/>
          <w:szCs w:val="24"/>
        </w:rPr>
        <w:t xml:space="preserve">  среди национально-культурных объединений Удмуртской Республики.</w:t>
      </w:r>
      <w:r>
        <w:rPr>
          <w:b w:val="0"/>
          <w:color w:val="000000"/>
          <w:sz w:val="24"/>
          <w:szCs w:val="24"/>
        </w:rPr>
      </w:r>
    </w:p>
    <w:p>
      <w:pPr>
        <w:pStyle w:val="para2"/>
        <w:ind w:firstLine="708"/>
        <w:spacing w:before="0" w:after="0" w:beforeAutospacing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Руководителями НКО УР предложено данное традиционное мероприятие, ежегодно проводимое по инициативе Армянской общественной организации  Удмуртской Республики «Урарту», посвятить памяти Александра Александровича Волкова, первого Президента Удмуртской Республики, в знак благодарности за создание условий для комфортной работы.</w:t>
      </w:r>
    </w:p>
    <w:p>
      <w:pPr>
        <w:rPr>
          <w:color w:val="000000"/>
        </w:rPr>
      </w:pPr>
      <w:r>
        <w:rPr>
          <w:color w:val="000000"/>
        </w:rPr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Организаторы</w:t>
      </w:r>
    </w:p>
    <w:p>
      <w:pPr>
        <w:pStyle w:val="para2"/>
        <w:ind w:right="346"/>
        <w:spacing w:before="0" w:after="0" w:beforeAutospacing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Министерство национальной политики  Удмуртской Республики;</w:t>
      </w:r>
    </w:p>
    <w:p>
      <w:pPr>
        <w:pStyle w:val="para11"/>
        <w:ind w:left="0"/>
        <w:spacing w:after="0"/>
        <w:jc w:val="both"/>
        <w:rPr>
          <w:bCs/>
          <w:color w:val="000000"/>
        </w:rPr>
      </w:pPr>
      <w:r>
        <w:rPr>
          <w:color w:val="000000"/>
        </w:rPr>
        <w:t>- Бюджетное учреждение Удмуртской Республики «Дом Дружбы народов»</w:t>
      </w:r>
      <w:r>
        <w:rPr>
          <w:bCs/>
          <w:color w:val="000000"/>
        </w:rPr>
        <w:t>;</w:t>
      </w:r>
      <w:r>
        <w:rPr>
          <w:bCs/>
          <w:color w:val="000000"/>
        </w:rPr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Армянская общественная организация  Удмуртской Республики «Урарту».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ind w:left="-142" w:firstLine="568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и задачи</w:t>
      </w:r>
    </w:p>
    <w:p>
      <w:pPr>
        <w:pStyle w:val="para11"/>
        <w:ind w:left="0"/>
        <w:spacing w:after="0"/>
        <w:jc w:val="both"/>
        <w:rPr>
          <w:b/>
          <w:bCs/>
          <w:color w:val="000000"/>
        </w:rPr>
      </w:pPr>
      <w:r>
        <w:rPr>
          <w:color w:val="000000"/>
        </w:rPr>
        <w:t>- Пропаганда межэтнического взаимопонимания,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национальной культуры, межкультурного диалога и здорового образа жизни;</w:t>
      </w:r>
      <w:r>
        <w:rPr>
          <w:b/>
          <w:bCs/>
          <w:color w:val="000000"/>
        </w:rPr>
      </w:r>
    </w:p>
    <w:p>
      <w:pPr>
        <w:pStyle w:val="para11"/>
        <w:ind w:left="0"/>
        <w:spacing w:after="0"/>
        <w:jc w:val="both"/>
        <w:rPr>
          <w:b/>
          <w:bCs/>
          <w:color w:val="000000"/>
        </w:rPr>
      </w:pPr>
      <w:r>
        <w:rPr>
          <w:bCs/>
          <w:color w:val="000000"/>
        </w:rPr>
        <w:t>- создание благоприятной среды для формирования межкультурного пространства (взаимодействие различных национальных культур, возрастных категорий);</w:t>
      </w:r>
      <w:r>
        <w:rPr>
          <w:b/>
          <w:bCs/>
          <w:color w:val="000000"/>
        </w:rPr>
      </w:r>
    </w:p>
    <w:p>
      <w:pPr>
        <w:pStyle w:val="para11"/>
        <w:ind w:left="0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>
      <w:pPr>
        <w:pStyle w:val="para11"/>
        <w:ind w:left="0"/>
        <w:spacing w:after="0"/>
        <w:jc w:val="both"/>
        <w:rPr>
          <w:color w:val="000000"/>
          <w:shd w:val="clear" w:fill="ffffff"/>
        </w:rPr>
      </w:pPr>
      <w:r>
        <w:rPr>
          <w:color w:val="000000"/>
          <w:shd w:val="clear" w:fill="ffffff"/>
        </w:rPr>
        <w:t>- укрепление дружественных связей между национально-культурными объединениями УР и другими заинтересованными организациями.</w:t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Сроки и место проведения чемпионата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  <w:t xml:space="preserve">Республиканский чемпионат по футзалу проводится </w:t>
      </w:r>
      <w:r>
        <w:rPr>
          <w:b/>
          <w:color w:val="000000"/>
        </w:rPr>
        <w:t>23 февраля 2022 года</w:t>
      </w:r>
      <w:r>
        <w:rPr>
          <w:color w:val="000000"/>
        </w:rPr>
        <w:t xml:space="preserve"> в спортивном комплексе  «Спортивный коворк «Арена» по адресу: УР, г. Ижевск, </w:t>
      </w:r>
      <w:hyperlink r:id="rId8" w:history="1">
        <w:r>
          <w:rPr>
            <w:rStyle w:val="char2"/>
            <w:color w:val="000000"/>
            <w:u w:color="auto" w:val="none"/>
          </w:rPr>
          <w:t>ул. Красногеройская</w:t>
        </w:r>
        <w:r>
          <w:rPr>
            <w:rStyle w:val="char2"/>
            <w:color w:val="000000"/>
            <w:u w:color="auto" w:val="none"/>
          </w:rPr>
          <w:t>, 54</w:t>
        </w:r>
      </w:hyperlink>
    </w:p>
    <w:p>
      <w:pPr>
        <w:ind w:firstLine="568"/>
        <w:spacing w:after="0"/>
        <w:jc w:val="center"/>
        <w:rPr>
          <w:color w:val="000000"/>
        </w:rPr>
      </w:pPr>
      <w:r>
        <w:rPr>
          <w:color w:val="000000"/>
        </w:rPr>
      </w:r>
    </w:p>
    <w:p>
      <w:pPr>
        <w:ind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Участники чемпионата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  <w:t>К участию в соревнованиях допускаются только представители национально-культурных объединений Удмуртской Республики не моложе 16 лет, не имеющие медицинских противопоказаний.</w:t>
      </w:r>
    </w:p>
    <w:p>
      <w:pPr>
        <w:ind w:firstLine="568"/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Состав команды до 10 человек (5 – основных, 5 – запасных игроков). </w:t>
      </w:r>
      <w:r>
        <w:rPr>
          <w:color w:val="000000"/>
          <w:kern w:val="1"/>
        </w:rPr>
        <w:t xml:space="preserve">Все игроки должны быть представителями национальной диаспоры, за команду которой они выступают. </w:t>
      </w:r>
      <w:r>
        <w:rPr>
          <w:color w:val="000000"/>
        </w:rPr>
        <w:t xml:space="preserve"> Главный судья имеет право отстранить команду от соревнований при нарушении состава команд согласно Положения. Каждая команда допускается к соревнованиям «строго» при наличии единой формы.</w:t>
      </w:r>
      <w:r>
        <w:rPr>
          <w:b/>
          <w:color w:val="000000"/>
        </w:rPr>
      </w:r>
    </w:p>
    <w:p>
      <w:pPr>
        <w:ind w:firstLine="568"/>
        <w:spacing w:after="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ind w:left="-142" w:firstLine="568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Программа проведения соревнований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color="auto"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color="auto" w:val="single"/>
        </w:rPr>
        <w:t>23 февраля 2022 года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 10.00 до 10.30 час. – Жеребьевка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 10.30 до 11.00 час. – Торжественное открытие чемпионата, парад команд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 11.00 до 19.00 час. – Футбольные матчи</w:t>
      </w:r>
    </w:p>
    <w:p>
      <w:pPr>
        <w:pStyle w:val="para10"/>
        <w:ind w:left="-142" w:firstLine="568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10"/>
        <w:ind w:left="-142" w:firstLine="568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 xml:space="preserve">- Для участия в соревнованиях необходимо заполнить </w:t>
      </w:r>
      <w:r>
        <w:rPr>
          <w:b/>
          <w:color w:val="000000"/>
        </w:rPr>
        <w:t xml:space="preserve">заявку </w:t>
      </w:r>
      <w:r>
        <w:rPr>
          <w:color w:val="000000"/>
        </w:rPr>
        <w:t>(Приложение 1);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подготовить спортивную команду в количестве до 10 человек (5 – основных, 5 – запасных игроков);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предоставить заполненную заявку оргкомитету до 20.02.2022 г.;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иметь спортивную форму и сменную спортивную обувь.</w:t>
      </w:r>
    </w:p>
    <w:p>
      <w:pPr>
        <w:pStyle w:val="para11"/>
        <w:ind w:left="0" w:firstLine="568"/>
        <w:spacing w:after="0"/>
        <w:jc w:val="both"/>
        <w:rPr>
          <w:color w:val="000000"/>
        </w:rPr>
      </w:pPr>
      <w:r>
        <w:rPr>
          <w:color w:val="000000"/>
        </w:rPr>
        <w:t xml:space="preserve">Заявки на участие от команд национально-культурных объединений Удмуртской Республики  принимаются до </w:t>
      </w:r>
      <w:r>
        <w:rPr>
          <w:b/>
          <w:color w:val="000000"/>
        </w:rPr>
        <w:t>20 февраля 202</w:t>
      </w:r>
      <w:r>
        <w:rPr>
          <w:b/>
          <w:bCs/>
          <w:color w:val="000000"/>
        </w:rPr>
        <w:t>2</w:t>
      </w:r>
      <w:r>
        <w:rPr>
          <w:color w:val="000000"/>
        </w:rPr>
        <w:t xml:space="preserve"> года по адресу:  г. Ижевск, ул. Орджоникидзе 33а, БУ УР «Дом Дружбы народов», кабинет № 210 или по электронной почте:  </w:t>
      </w:r>
      <w:hyperlink r:id="rId9" w:history="1">
        <w:r>
          <w:rPr>
            <w:rStyle w:val="char2"/>
            <w:color w:val="000000"/>
            <w:lang w:val="en-us"/>
          </w:rPr>
          <w:t>ddnodm</w:t>
        </w:r>
        <w:r>
          <w:rPr>
            <w:rStyle w:val="char2"/>
            <w:color w:val="000000"/>
          </w:rPr>
          <w:t>@</w:t>
        </w:r>
        <w:r>
          <w:rPr>
            <w:rStyle w:val="char2"/>
            <w:color w:val="000000"/>
            <w:lang w:val="en-us"/>
          </w:rPr>
          <w:t>mail</w:t>
        </w:r>
        <w:r>
          <w:rPr>
            <w:rStyle w:val="char2"/>
            <w:color w:val="000000"/>
          </w:rPr>
          <w:t>.</w:t>
        </w:r>
        <w:r>
          <w:rPr>
            <w:rStyle w:val="char2"/>
            <w:color w:val="000000"/>
            <w:lang w:val="en-us"/>
          </w:rPr>
          <w:t>ru</w:t>
        </w:r>
      </w:hyperlink>
      <w:r>
        <w:rPr>
          <w:color w:val="000000"/>
        </w:rPr>
        <w:t xml:space="preserve">  </w:t>
      </w:r>
    </w:p>
    <w:p>
      <w:pPr>
        <w:pStyle w:val="para11"/>
        <w:ind w:left="0" w:firstLine="568"/>
        <w:spacing w:after="0"/>
        <w:jc w:val="both"/>
        <w:rPr>
          <w:color w:val="000000"/>
        </w:rPr>
      </w:pPr>
      <w:r>
        <w:rPr>
          <w:color w:val="000000"/>
        </w:rPr>
        <w:t>Сбор капитанов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состоится 21 февраля 2022 года в 17.00 по адресу: г. Ижевск, ул. Орджоникидзе 33а, БУ УР «Дом Дружбы народов», Конференц-зал. </w:t>
      </w:r>
    </w:p>
    <w:p>
      <w:pPr>
        <w:pStyle w:val="para11"/>
        <w:ind w:left="0" w:firstLine="568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ind w:left="-142" w:firstLine="568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Дисциплинарные нарушения</w:t>
      </w:r>
    </w:p>
    <w:p>
      <w:pPr>
        <w:pStyle w:val="para11"/>
        <w:ind w:left="-142" w:firstLine="568"/>
        <w:spacing w:after="0"/>
        <w:jc w:val="both"/>
        <w:rPr>
          <w:color w:val="000000"/>
        </w:rPr>
      </w:pPr>
      <w:r>
        <w:rPr>
          <w:color w:val="000000"/>
        </w:rPr>
        <w:t>Команда дисквалифицируется и снимается с соревнований и все ее результаты аннулируются: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 xml:space="preserve">- за неявку без уважительных причин; 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за грубое нарушение спортивной дисциплины (демонстративный уход команды с поля, хулиганское поведение игроков всей команды);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за участие в соревнованиях не заявленного, не вписанного в заявку или удаленного игрока команде засчитывается поражение;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за две желтые или одну красную карточку (грубые и очень грубые нарушения соответственно) футболист команды удаляется с поля;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kern w:val="1"/>
        </w:rPr>
      </w:pPr>
      <w:r>
        <w:rPr>
          <w:color w:val="000000"/>
          <w:kern w:val="1"/>
        </w:rPr>
        <w:t>- за умышленное введение в заблуждение судей и организаторов (выход на поле незаявленного игрока/игрока другой команды и т.п.).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para10"/>
        <w:ind w:left="-142" w:firstLine="568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10"/>
        <w:ind w:left="-142" w:firstLine="568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Система  проведения соревнований</w:t>
      </w:r>
    </w:p>
    <w:p>
      <w:pPr>
        <w:pStyle w:val="para5"/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Система проведения соревнований определяется Главной судейской коллегией в зависимости от числа участвующих команд. Победитель определяется по наибольшему количеству набранных очков (победа – 3 очка, ничья – 1 очко, поражение – 0 очков).</w:t>
      </w:r>
    </w:p>
    <w:p>
      <w:pPr>
        <w:pStyle w:val="para5"/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В случае равенства очков у двух или более команд, места определяются по: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результатам игр между собой (количество очков);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наибольшему количеству побед во всех встречах;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наилучшей разности забитых и пропущенных мячей во всех встречах;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наименьшему числу нарушений (предупреждение – 1 очко, удаление – 5 очков);</w:t>
      </w:r>
    </w:p>
    <w:p>
      <w:pPr>
        <w:pStyle w:val="para5"/>
        <w:numPr>
          <w:ilvl w:val="0"/>
          <w:numId w:val="1"/>
        </w:numPr>
        <w:ind w:left="0" w:firstLine="568"/>
        <w:spacing w:after="0"/>
        <w:rPr>
          <w:color w:val="000000"/>
          <w:sz w:val="24"/>
        </w:rPr>
      </w:pPr>
      <w:r>
        <w:rPr>
          <w:color w:val="000000"/>
          <w:sz w:val="24"/>
        </w:rPr>
        <w:t>жребию.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  <w:t>Главный судья соревнований: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Ситников Александр Павлович.  </w:t>
      </w:r>
    </w:p>
    <w:p>
      <w:pPr>
        <w:ind w:firstLine="568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para10"/>
        <w:ind w:firstLine="568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Награждение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Команда, занявшая первое место, награждается кубком и дипломом, ценным подарком, игроки – медалями;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Команды, занявшие 2-3 места, награждаются кубком и дипломами соответствующих степеней, ценными подарками, игроки – медалями;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 xml:space="preserve">- Команды, занявшие </w:t>
      </w:r>
      <w:r>
        <w:rPr>
          <w:bCs/>
          <w:color w:val="000000"/>
        </w:rPr>
        <w:t xml:space="preserve">прочие </w:t>
      </w:r>
      <w:r>
        <w:rPr>
          <w:color w:val="000000"/>
        </w:rPr>
        <w:t>места, награждаются дипломами за активное участие;</w:t>
      </w:r>
    </w:p>
    <w:p>
      <w:pPr>
        <w:pStyle w:val="para11"/>
        <w:ind w:left="0"/>
        <w:spacing w:after="0"/>
        <w:jc w:val="both"/>
        <w:rPr>
          <w:color w:val="000000"/>
        </w:rPr>
      </w:pPr>
      <w:r>
        <w:rPr>
          <w:color w:val="000000"/>
        </w:rPr>
        <w:t>- награждается лучшая группа поддержки.</w:t>
      </w:r>
    </w:p>
    <w:p>
      <w:pPr>
        <w:pStyle w:val="para11"/>
        <w:ind w:left="57"/>
        <w:spacing w:after="0"/>
        <w:jc w:val="both"/>
        <w:rPr>
          <w:color w:val="000000"/>
        </w:rPr>
      </w:pPr>
      <w:r>
        <w:rPr>
          <w:color w:val="000000"/>
        </w:rPr>
      </w:r>
    </w:p>
    <w:p>
      <w:pPr>
        <w:ind w:left="57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Контактная информация</w:t>
      </w:r>
    </w:p>
    <w:p>
      <w:pPr>
        <w:ind w:left="57"/>
        <w:spacing w:after="0"/>
        <w:jc w:val="both"/>
        <w:rPr>
          <w:color w:val="000000"/>
        </w:rPr>
      </w:pPr>
      <w:r>
        <w:rPr>
          <w:color w:val="000000"/>
        </w:rPr>
        <w:t>8 (3412) 63-10-73 – Марданова Лилия Минзуфаровна,  методист отдела межнациональных отношений и финно-угорского сотрудничества  БУ УР « Дом Дружбы народов».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993" w:top="568" w:right="707" w:bottom="568" w:header="0" w:footer="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/>
        <w:jc w:val="right"/>
        <w:rPr>
          <w:color w:val="000000"/>
        </w:rPr>
      </w:pPr>
      <w:r>
        <w:rPr>
          <w:color w:val="000000"/>
        </w:rPr>
        <w:t>Приложение 1</w:t>
      </w:r>
    </w:p>
    <w:p>
      <w:pPr>
        <w:spacing w:after="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467360</wp:posOffset>
                </wp:positionV>
                <wp:extent cx="10331450" cy="5523865"/>
                <wp:effectExtent l="0" t="0" r="0" b="0"/>
                <wp:wrapSquare wrapText="bothSides"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yGX6Y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OPwAA2CwAAAACAAAJAAAABAAAAAAAAAAMAAAAEAAAAAAAAAAAAAAAAAAAAAAAAAAeAAAAaAAAAAAAAAAAAAAAAAAAAAAAAAAAAAAAECcAABAnAAAAAAAAAAAAAAAAAAAAAAAAAAAAAAAAAAAAAAAAAAAAABQAAAAAAAAAwMD/AAAAAABkAAAAMgAAAAAAAABkAAAAAAAAAH9/fwAKAAAAIQAAAEAAAAA8AAAASQAAAACiAABAAAAAAAAAAAAAAAABAAAAAAAAAAEAAAAAAAAA4AIAAI4/AAD7IQAAAwABABwBAADgAgAAKAAAAAgAAAACAAAAAgAAAA=="/>
                          </a:ext>
                        </a:extLst>
                      </wps:cNvSpPr>
                      <wps:spPr>
                        <a:xfrm>
                          <a:off x="0" y="0"/>
                          <a:ext cx="10331450" cy="55238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 xml:space="preserve">ЗАЯВОЧНЫЙ ЛИСТ                                      </w:t>
                              <w:br w:type="textWrapping"/>
                              <w:t>Команда__________________________________________________________________________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ab/>
                              <w:tab/>
                              <w:t xml:space="preserve"> 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 xml:space="preserve">                                                                                   </w:t>
                              <w:tab/>
                              <w:tab/>
                              <w:t xml:space="preserve"> название национально – культурного объединения    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 xml:space="preserve">  на участие в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</w:rPr>
                              <w:t>IV Республиканском</w:t>
                            </w:r>
                            <w:r>
                              <w:rPr>
                                <w:b/>
                                <w:color w:val="1c1a10"/>
                              </w:rPr>
                              <w:t xml:space="preserve"> чемпионате по </w:t>
                            </w:r>
                            <w:r>
                              <w:rPr>
                                <w:b/>
                                <w:color w:val="1c1a10"/>
                              </w:rPr>
                              <w:t>футзалу</w:t>
                            </w:r>
                            <w:r>
                              <w:rPr>
                                <w:b/>
                                <w:color w:val="1c1a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  <w:p>
                            <w:pPr>
                              <w:pStyle w:val="para2"/>
                              <w:ind w:right="346"/>
                              <w:spacing w:before="0" w:after="0" w:beforeAutospacing="0" w:afterAutospacing="0"/>
                              <w:jc w:val="center"/>
                              <w:rPr>
                                <w:color w:val="1c1a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c1a10"/>
                                <w:sz w:val="24"/>
                                <w:szCs w:val="24"/>
                              </w:rPr>
                              <w:t>среди национально-культурных объединений Удмуртской Республики, посвященном памяти А.А. Волкова</w:t>
                            </w:r>
                          </w:p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tbl>
                            <w:tblPr>
                              <w:tblStyle w:val="NormalTable"/>
                              <w:name w:val="Таблица1"/>
                              <w:tabOrder w:val="0"/>
                              <w:jc w:val="left"/>
                              <w:tblInd w:w="392" w:type="dxa"/>
                              <w:tblW w:w="158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7597"/>
                              <w:gridCol w:w="2126"/>
                              <w:gridCol w:w="2859"/>
                              <w:gridCol w:w="2193"/>
                            </w:tblGrid>
                            <w:tr>
                              <w:trPr>
                                <w:tblHeader w:val="0"/>
                                <w:cantSplit w:val="0"/>
                                <w:trHeight w:val="823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  <w:t>Фамилия, имя отчество (полностью)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a10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>Допуск врача</w:t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 xml:space="preserve">Подпись, дата, </w:t>
                                  </w:r>
                                </w:p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>печать врача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rFonts w:eastAsia="Calibri"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1c1a10"/>
                                    </w:rPr>
                                    <w:t xml:space="preserve">За здоровье и готовность отвечаю лично </w:t>
                                  </w:r>
                                  <w:r>
                                    <w:rPr>
                                      <w:rFonts w:eastAsia="Calibri"/>
                                      <w:color w:val="1c1a10"/>
                                    </w:rPr>
                                    <w:t>(при отсутствии допуска врача)</w:t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rFonts w:eastAsia="Calibri"/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1c1a10"/>
                                    </w:rPr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>Подпись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663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  <w:t>КАПИТАН: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17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08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14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21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27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04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10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17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409" w:hRule="atLeast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color w:val="1c1a10"/>
                                    </w:rPr>
                                  </w:pPr>
                                  <w:r>
                                    <w:rPr>
                                      <w:color w:val="1c1a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97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</w:tcBorders>
                                  <w:tmTcPr id="1643800008" protected="0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1c1a10"/>
                                    </w:rPr>
                                  </w:pPr>
                                  <w:r>
                                    <w:rPr>
                                      <w:b/>
                                      <w:color w:val="1c1a1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Текстовое поле 1" o:spid="_x0000_s1026" type="#_x0000_t202" style="position:absolute;margin-left:0.00pt;margin-top:36.80pt;mso-position-horizontal-relative:margin;mso-position-vertical-relative:page;width:813.50pt;height:434.95pt;z-index:251658241;mso-wrap-distance-left:9.00pt;mso-wrap-distance-top:0.00pt;mso-wrap-distance-right:9.00pt;mso-wrap-distance-bottom:0.00pt;mso-wrap-style:none" stroked="f" filled="f" v:ext="SMDATA_12_yGX6Y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OPwAA2CwAAAACAAAJAAAABAAAAAAAAAAMAAAAEAAAAAAAAAAAAAAAAAAAAAAAAAAeAAAAaAAAAAAAAAAAAAAAAAAAAAAAAAAAAAAAECcAABAnAAAAAAAAAAAAAAAAAAAAAAAAAAAAAAAAAAAAAAAAAAAAABQAAAAAAAAAwMD/AAAAAABkAAAAMgAAAAAAAABkAAAAAAAAAH9/fwAKAAAAIQAAAEAAAAA8AAAASQAAAACiAABAAAAAAAAAAAAAAAABAAAAAAAAAAEAAAAAAAAA4AIAAI4/AAD7IQAAAwABABwBAADgAgAAKAAAAAgAAAACAAAAAgAAAA==" o:insetmode="custom">
                <w10:wrap type="square" anchorx="margin" anchory="page"/>
                <v:textbox style="mso-fit-shape-to-text:t" inset="0.0pt,0.0pt,0.0pt,0.0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color w:val="1c1a10"/>
                        </w:rPr>
                      </w:pPr>
                      <w:r>
                        <w:rPr>
                          <w:b/>
                          <w:color w:val="1c1a10"/>
                        </w:rPr>
                        <w:t xml:space="preserve">ЗАЯВОЧНЫЙ ЛИСТ                                      </w:t>
                        <w:br w:type="textWrapping"/>
                        <w:t>Команда__________________________________________________________________________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1c1a10"/>
                        </w:rPr>
                      </w:pPr>
                      <w:r>
                        <w:rPr>
                          <w:b/>
                          <w:color w:val="1c1a10"/>
                        </w:rPr>
                        <w:tab/>
                        <w:tab/>
                        <w:t xml:space="preserve"> _________________________________________________________________________________________________________</w:t>
                      </w:r>
                    </w:p>
                    <w:p>
                      <w:pPr>
                        <w:spacing w:after="0" w:line="240" w:lineRule="auto"/>
                        <w:rPr>
                          <w:color w:val="1c1a10"/>
                        </w:rPr>
                      </w:pPr>
                      <w:r>
                        <w:rPr>
                          <w:color w:val="1c1a10"/>
                        </w:rPr>
                        <w:t xml:space="preserve">                                                                                   </w:t>
                        <w:tab/>
                        <w:tab/>
                        <w:t xml:space="preserve"> название национально – культурного объединения    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1c1a10"/>
                        </w:rPr>
                      </w:pPr>
                      <w:r>
                        <w:rPr>
                          <w:b/>
                          <w:color w:val="1c1a10"/>
                        </w:rPr>
                        <w:t xml:space="preserve">  на участие в </w:t>
                      </w: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rPr>
                          <w:b/>
                        </w:rPr>
                        <w:t>IV Республиканском</w:t>
                      </w:r>
                      <w:r>
                        <w:rPr>
                          <w:b/>
                          <w:color w:val="1c1a10"/>
                        </w:rPr>
                        <w:t xml:space="preserve"> чемпионате по </w:t>
                      </w:r>
                      <w:r>
                        <w:rPr>
                          <w:b/>
                          <w:color w:val="1c1a10"/>
                        </w:rPr>
                        <w:t>футзалу</w:t>
                      </w:r>
                      <w:r>
                        <w:rPr>
                          <w:b/>
                          <w:color w:val="1c1a10"/>
                        </w:rPr>
                        <w:t xml:space="preserve"> </w:t>
                      </w:r>
                      <w:r>
                        <w:rPr>
                          <w:b/>
                          <w:color w:val="1c1a10"/>
                        </w:rPr>
                      </w:r>
                    </w:p>
                    <w:p>
                      <w:pPr>
                        <w:pStyle w:val="para2"/>
                        <w:ind w:right="346"/>
                        <w:spacing w:before="0" w:after="0" w:beforeAutospacing="0" w:afterAutospacing="0"/>
                        <w:jc w:val="center"/>
                        <w:rPr>
                          <w:color w:val="1c1a10"/>
                          <w:sz w:val="24"/>
                          <w:szCs w:val="24"/>
                        </w:rPr>
                      </w:pPr>
                      <w:r>
                        <w:rPr>
                          <w:color w:val="1c1a10"/>
                          <w:sz w:val="24"/>
                          <w:szCs w:val="24"/>
                        </w:rPr>
                        <w:t>среди национально-культурных объединений Удмуртской Республики, посвященном памяти А.А. Волкова</w:t>
                      </w:r>
                    </w:p>
                    <w:p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tbl>
                      <w:tblPr>
                        <w:tblStyle w:val="NormalTable"/>
                        <w:name w:val="Таблица1"/>
                        <w:tabOrder w:val="0"/>
                        <w:jc w:val="left"/>
                        <w:tblInd w:w="392" w:type="dxa"/>
                        <w:tblW w:w="15876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7597"/>
                        <w:gridCol w:w="2126"/>
                        <w:gridCol w:w="2859"/>
                        <w:gridCol w:w="2193"/>
                      </w:tblGrid>
                      <w:tr>
                        <w:trPr>
                          <w:tblHeader w:val="0"/>
                          <w:cantSplit w:val="0"/>
                          <w:trHeight w:val="823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  <w:t>№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597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  <w:t>Фамилия, имя отчество (полностью)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a10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>Допуск врача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 xml:space="preserve">Подпись, дата, 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>печать врача</w:t>
                            </w:r>
                          </w:p>
                        </w:tc>
                        <w:tc>
                          <w:tcPr>
                            <w:tcW w:w="2193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rFonts w:eastAsia="Calibri"/>
                                <w:color w:val="1c1a1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1c1a10"/>
                              </w:rPr>
                              <w:t xml:space="preserve">За здоровье и готовность отвечаю лично </w:t>
                            </w:r>
                            <w:r>
                              <w:rPr>
                                <w:rFonts w:eastAsia="Calibri"/>
                                <w:color w:val="1c1a10"/>
                              </w:rPr>
                              <w:t>(при отсутствии допуска врача)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eastAsia="Calibri"/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1c1a10"/>
                              </w:rPr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>Подпись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663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  <w:t>КАПИТАН: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17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c1a1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08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14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21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27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04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10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17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409" w:hRule="atLeast"/>
                        </w:trPr>
                        <w:tc>
                          <w:tcPr>
                            <w:tcW w:w="1101" w:type="dxa"/>
                            <w:vAlign w:val="center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color w:val="1c1a10"/>
                              </w:rPr>
                            </w:pPr>
                            <w:r>
                              <w:rPr>
                                <w:color w:val="1c1a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97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</w:tcBorders>
                            <w:tmTcPr id="1643800008" protected="0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1c1a10"/>
                              </w:rPr>
                            </w:pPr>
                            <w:r>
                              <w:rPr>
                                <w:b/>
                                <w:color w:val="1c1a1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b/>
          <w:color w:val="000000"/>
        </w:rPr>
        <w:t>РУКОВОДИТЕЛЬ КОМАНДЫ</w:t>
      </w:r>
    </w:p>
    <w:tbl>
      <w:tblPr>
        <w:tblStyle w:val="NormalTable"/>
        <w:name w:val="Таблица2"/>
        <w:tabOrder w:val="0"/>
        <w:jc w:val="left"/>
        <w:tblInd w:w="0" w:type="dxa"/>
        <w:tblW w:w="13318" w:type="dxa"/>
        <w:tblLook w:val="04A0" w:firstRow="1" w:lastRow="0" w:firstColumn="1" w:lastColumn="0" w:noHBand="0" w:noVBand="1"/>
      </w:tblPr>
      <w:tblGrid>
        <w:gridCol w:w="689"/>
        <w:gridCol w:w="7641"/>
        <w:gridCol w:w="4988"/>
      </w:tblGrid>
      <w:tr>
        <w:trPr>
          <w:tblHeader w:val="0"/>
          <w:cantSplit w:val="0"/>
          <w:trHeight w:val="308" w:hRule="atLeast"/>
        </w:trPr>
        <w:tc>
          <w:tcPr>
            <w:tcW w:w="68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800008" protected="0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800008" protected="0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 отчество (полностью)</w:t>
            </w:r>
          </w:p>
        </w:tc>
        <w:tc>
          <w:tcPr>
            <w:tcW w:w="498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800008" protected="0"/>
          </w:tcPr>
          <w:p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</w:tr>
      <w:tr>
        <w:trPr>
          <w:tblHeader w:val="0"/>
          <w:cantSplit w:val="0"/>
          <w:trHeight w:val="425" w:hRule="atLeast"/>
        </w:trPr>
        <w:tc>
          <w:tcPr>
            <w:tcW w:w="68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800008" protected="0"/>
          </w:tcPr>
          <w:p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b/>
                <w:color w:val="000000"/>
              </w:rPr>
            </w:r>
          </w:p>
        </w:tc>
        <w:tc>
          <w:tcPr>
            <w:tcW w:w="764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800008" protected="0"/>
          </w:tcPr>
          <w:p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9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3800008" protected="0"/>
          </w:tcPr>
          <w:p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Подтверждаю, что все игроки нашей команды действительно являются членами нашей организации. </w:t>
      </w:r>
    </w:p>
    <w:p>
      <w:pPr>
        <w:spacing w:after="0"/>
        <w:rPr>
          <w:b/>
          <w:color w:val="000000"/>
        </w:rPr>
      </w:pPr>
      <w:r>
        <w:rPr>
          <w:b/>
          <w:color w:val="000000"/>
        </w:rPr>
      </w:r>
    </w:p>
    <w:p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Руководитель организации  _________________  / ____________________ /           </w:t>
      </w:r>
      <w:r>
        <w:rPr>
          <w:color w:val="000000"/>
        </w:rPr>
        <w:t xml:space="preserve">«____»_____________ 2022 г.     </w:t>
      </w:r>
      <w:r>
        <w:rPr>
          <w:b/>
          <w:color w:val="000000"/>
        </w:rPr>
        <w:t xml:space="preserve">  </w:t>
      </w:r>
      <w:r>
        <w:rPr>
          <w:b/>
          <w:color w:val="000000"/>
        </w:rPr>
      </w:r>
    </w:p>
    <w:p>
      <w:pPr>
        <w:spacing w:after="0"/>
        <w:rPr>
          <w:color w:val="000000"/>
        </w:rPr>
      </w:pPr>
      <w:r>
        <w:rPr>
          <w:b/>
          <w:color w:val="000000"/>
        </w:rPr>
        <w:tab/>
        <w:tab/>
        <w:tab/>
        <w:tab/>
        <w:t xml:space="preserve">         </w:t>
      </w:r>
      <w:r>
        <w:rPr>
          <w:color w:val="000000"/>
        </w:rPr>
        <w:t>подпись</w:t>
        <w:tab/>
        <w:tab/>
        <w:t xml:space="preserve">             Ф.И.О.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284" w:top="284" w:right="284" w:bottom="142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cc"/>
    <w:family w:val="roma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  <w:font w:name="Calibri">
    <w:charset w:val="cc"/>
    <w:family w:val="swiss"/>
    <w:pitch w:val="default"/>
  </w:font>
  <w:font w:name="Cambria">
    <w:charset w:val="cc"/>
    <w:family w:val="roman"/>
    <w:pitch w:val="default"/>
  </w:font>
  <w:font w:name="Tahoma">
    <w:charset w:val="cc"/>
    <w:family w:val="swiss"/>
    <w:pitch w:val="default"/>
  </w:font>
  <w:font w:name="SL_Times New Roman">
    <w:charset w:val="cc"/>
    <w:family w:val="roman"/>
    <w:pitch w:val="default"/>
  </w:font>
  <w:font w:name="Noto Sans Thai">
    <w:charset w:val="d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"/>
      <w:lvlJc w:val="left"/>
      <w:pPr>
        <w:ind w:left="218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938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65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378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098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81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538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258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978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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43800008" w:val="98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para2">
    <w:name w:val="heading 5"/>
    <w:qFormat/>
    <w:basedOn w:val="para0"/>
    <w:next w:val="para0"/>
    <w:pPr>
      <w:spacing w:before="100" w:after="100" w:beforeAutospacing="1" w:afterAutospacing="1"/>
      <w:outlineLvl w:val="4"/>
    </w:pPr>
    <w:rPr>
      <w:b/>
      <w:bCs/>
      <w:sz w:val="20"/>
      <w:szCs w:val="20"/>
    </w:rPr>
  </w:style>
  <w:style w:type="paragraph" w:styleId="para3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Body Text Indent 2"/>
    <w:qFormat/>
    <w:basedOn w:val="para0"/>
    <w:pPr>
      <w:ind w:left="-57" w:firstLine="765"/>
      <w:spacing/>
      <w:jc w:val="both"/>
    </w:pPr>
    <w:rPr>
      <w:sz w:val="26"/>
    </w:r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8">
    <w:name w:val="Title"/>
    <w:qFormat/>
    <w:basedOn w:val="para0"/>
    <w:pPr>
      <w:ind w:left="-540"/>
      <w:spacing/>
      <w:jc w:val="center"/>
    </w:pPr>
    <w:rPr>
      <w:b/>
      <w:bCs/>
      <w:sz w:val="32"/>
    </w:rPr>
  </w:style>
  <w:style w:type="paragraph" w:styleId="para9">
    <w:name w:val="Quote"/>
    <w:qFormat/>
    <w:basedOn w:val="para0"/>
    <w:next w:val="para0"/>
    <w:rPr>
      <w:i/>
      <w:iCs/>
      <w:color w:val="000000"/>
    </w:rPr>
  </w:style>
  <w:style w:type="paragraph" w:styleId="para10">
    <w:name w:val="No Spacing"/>
    <w:qFormat/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para1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rFonts w:ascii="Tahoma" w:hAnsi="Tahoma" w:cs="Tahoma"/>
      <w:i/>
      <w:iCs/>
      <w:color w:val="e52a2f"/>
      <w:sz w:val="17"/>
      <w:szCs w:val="17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>
    <w:name w:val="Strong"/>
    <w:basedOn w:val="char0"/>
    <w:rPr>
      <w:b/>
      <w:bCs/>
    </w:rPr>
  </w:style>
  <w:style w:type="character" w:styleId="char4" w:customStyle="1">
    <w:name w:val="Заголовок 5 Знак"/>
    <w:basedOn w:val="char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5" w:customStyle="1">
    <w:name w:val="Заголовок 6 Знак"/>
    <w:basedOn w:val="char0"/>
    <w:rPr>
      <w:rFonts w:ascii="Times New Roman" w:hAnsi="Times New Roman" w:eastAsia="Times New Roman" w:cs="Times New Roman"/>
      <w:b/>
      <w:bCs/>
    </w:rPr>
  </w:style>
  <w:style w:type="character" w:styleId="char6" w:customStyle="1">
    <w:name w:val="Цитата 2 Знак"/>
    <w:basedOn w:val="char0"/>
    <w:rPr>
      <w:rFonts w:ascii="Times New Roman" w:hAnsi="Times New Roman" w:eastAsia="Times New Roman" w:cs="Times New Roman"/>
      <w:i/>
      <w:iCs/>
      <w:color w:val="000000"/>
      <w:sz w:val="24"/>
      <w:szCs w:val="24"/>
    </w:rPr>
  </w:style>
  <w:style w:type="character" w:styleId="char7" w:customStyle="1">
    <w:name w:val="Название Знак"/>
    <w:basedOn w:val="char0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char8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9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0" w:customStyle="1">
    <w:name w:val="Основной текст с отступом 2 Знак"/>
    <w:basedOn w:val="char0"/>
    <w:rPr>
      <w:rFonts w:ascii="Times New Roman" w:hAnsi="Times New Roman" w:eastAsia="Times New Roman" w:cs="Times New Roman"/>
      <w:sz w:val="26"/>
      <w:szCs w:val="24"/>
    </w:rPr>
  </w:style>
  <w:style w:type="character" w:styleId="char1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para2">
    <w:name w:val="heading 5"/>
    <w:qFormat/>
    <w:basedOn w:val="para0"/>
    <w:next w:val="para0"/>
    <w:pPr>
      <w:spacing w:before="100" w:after="100" w:beforeAutospacing="1" w:afterAutospacing="1"/>
      <w:outlineLvl w:val="4"/>
    </w:pPr>
    <w:rPr>
      <w:b/>
      <w:bCs/>
      <w:sz w:val="20"/>
      <w:szCs w:val="20"/>
    </w:rPr>
  </w:style>
  <w:style w:type="paragraph" w:styleId="para3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Body Text Indent 2"/>
    <w:qFormat/>
    <w:basedOn w:val="para0"/>
    <w:pPr>
      <w:ind w:left="-57" w:firstLine="765"/>
      <w:spacing/>
      <w:jc w:val="both"/>
    </w:pPr>
    <w:rPr>
      <w:sz w:val="26"/>
    </w:r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8">
    <w:name w:val="Title"/>
    <w:qFormat/>
    <w:basedOn w:val="para0"/>
    <w:pPr>
      <w:ind w:left="-540"/>
      <w:spacing/>
      <w:jc w:val="center"/>
    </w:pPr>
    <w:rPr>
      <w:b/>
      <w:bCs/>
      <w:sz w:val="32"/>
    </w:rPr>
  </w:style>
  <w:style w:type="paragraph" w:styleId="para9">
    <w:name w:val="Quote"/>
    <w:qFormat/>
    <w:basedOn w:val="para0"/>
    <w:next w:val="para0"/>
    <w:rPr>
      <w:i/>
      <w:iCs/>
      <w:color w:val="000000"/>
    </w:rPr>
  </w:style>
  <w:style w:type="paragraph" w:styleId="para10">
    <w:name w:val="No Spacing"/>
    <w:qFormat/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para1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rFonts w:ascii="Tahoma" w:hAnsi="Tahoma" w:cs="Tahoma"/>
      <w:i/>
      <w:iCs/>
      <w:color w:val="e52a2f"/>
      <w:sz w:val="17"/>
      <w:szCs w:val="17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>
    <w:name w:val="Strong"/>
    <w:basedOn w:val="char0"/>
    <w:rPr>
      <w:b/>
      <w:bCs/>
    </w:rPr>
  </w:style>
  <w:style w:type="character" w:styleId="char4" w:customStyle="1">
    <w:name w:val="Заголовок 5 Знак"/>
    <w:basedOn w:val="char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5" w:customStyle="1">
    <w:name w:val="Заголовок 6 Знак"/>
    <w:basedOn w:val="char0"/>
    <w:rPr>
      <w:rFonts w:ascii="Times New Roman" w:hAnsi="Times New Roman" w:eastAsia="Times New Roman" w:cs="Times New Roman"/>
      <w:b/>
      <w:bCs/>
    </w:rPr>
  </w:style>
  <w:style w:type="character" w:styleId="char6" w:customStyle="1">
    <w:name w:val="Цитата 2 Знак"/>
    <w:basedOn w:val="char0"/>
    <w:rPr>
      <w:rFonts w:ascii="Times New Roman" w:hAnsi="Times New Roman" w:eastAsia="Times New Roman" w:cs="Times New Roman"/>
      <w:i/>
      <w:iCs/>
      <w:color w:val="000000"/>
      <w:sz w:val="24"/>
      <w:szCs w:val="24"/>
    </w:rPr>
  </w:style>
  <w:style w:type="character" w:styleId="char7" w:customStyle="1">
    <w:name w:val="Название Знак"/>
    <w:basedOn w:val="char0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char8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9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0" w:customStyle="1">
    <w:name w:val="Основной текст с отступом 2 Знак"/>
    <w:basedOn w:val="char0"/>
    <w:rPr>
      <w:rFonts w:ascii="Times New Roman" w:hAnsi="Times New Roman" w:eastAsia="Times New Roman" w:cs="Times New Roman"/>
      <w:sz w:val="26"/>
      <w:szCs w:val="24"/>
    </w:rPr>
  </w:style>
  <w:style w:type="character" w:styleId="char1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vk.com/arena.cowork?w=address-183450330_58736" TargetMode="External"/><Relationship Id="rId9" Type="http://schemas.openxmlformats.org/officeDocument/2006/relationships/hyperlink" Target="mailto:ddno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/>
  <cp:revision>17</cp:revision>
  <cp:lastPrinted>2022-02-02T07:56:39Z</cp:lastPrinted>
  <dcterms:created xsi:type="dcterms:W3CDTF">2020-02-11T11:49:00Z</dcterms:created>
  <dcterms:modified xsi:type="dcterms:W3CDTF">2022-02-02T11:06:48Z</dcterms:modified>
</cp:coreProperties>
</file>