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Удмуртской Республики</w:t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 w:cs="Times New Roman"/>
          <w:kern w:val="1"/>
          <w:sz w:val="28"/>
          <w:szCs w:val="28"/>
          <w:lang w:eastAsia="zh-cn" w:bidi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 w:bidi="ar-sa"/>
        </w:rPr>
        <w:t xml:space="preserve">«Об утверждении Положения о порядке предоставления из бюджета </w:t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 w:cs="Times New Roman"/>
          <w:kern w:val="1"/>
          <w:sz w:val="28"/>
          <w:szCs w:val="28"/>
          <w:lang w:eastAsia="zh-cn" w:bidi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 w:bidi="ar-sa"/>
        </w:rPr>
        <w:t>Удмуртской Республики субсидии Межрегиональной общественной организации «Всеудмуртская ассоциация «Удмурт Кенеш»</w:t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 w:cs="Times New Roman"/>
          <w:kern w:val="1"/>
          <w:sz w:val="28"/>
          <w:szCs w:val="28"/>
          <w:lang w:eastAsia="zh-cn" w:bidi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 w:bidi="ar-sa"/>
        </w:rPr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 w:cs="Times New Roman"/>
          <w:kern w:val="1"/>
          <w:sz w:val="28"/>
          <w:szCs w:val="28"/>
          <w:lang w:eastAsia="zh-cn" w:bidi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zh-cn" w:bidi="ar-sa"/>
        </w:rPr>
      </w:r>
    </w:p>
    <w:p>
      <w:pPr>
        <w:ind w:firstLine="85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Предлагаемый проект постановления вносится в целях финансового обеспечения затрат на осуществление уставной деятельности Межрегиональной общественной организация «Всеудмуртская ассоциация «Удмурт Кенеш» в сфере сохранения и развития удмуртского языка, культуры, традиций удмуртского народа, повышения его национального самосознания и духовности.</w:t>
      </w:r>
    </w:p>
    <w:p>
      <w:pPr>
        <w:ind w:firstLine="85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Положения о порядке предоставления из бюджета Удмуртской Республики субсидии Межрегиональной общественной организации «Всеудмуртская ассоциация «Удмурт Кенеш» разработан в соответствии с письмом Министерства финансов Удмуртской Республики от 31.05.2023 года № 2482/15-12.</w:t>
      </w:r>
    </w:p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</w:r>
    </w:p>
    <w:p>
      <w:pPr>
        <w:ind w:right="-1"/>
        <w:spacing w:after="0"/>
        <w:contextualSpacing/>
        <w:jc w:val="both"/>
        <w:tabs defTabSz="708"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right="-1"/>
        <w:spacing w:after="0"/>
        <w:contextualSpacing/>
        <w:jc w:val="both"/>
        <w:tabs defTabSz="708"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tbl>
      <w:tblPr>
        <w:name w:val="Таблица1"/>
        <w:tabOrder w:val="0"/>
        <w:jc w:val="left"/>
        <w:tblInd w:w="108" w:type="dxa"/>
        <w:tblW w:w="10277" w:type="dxa"/>
        <w:pPr>
          <w:ind w:left="108"/>
          <w:spacing w:after="0" w:line="240" w:lineRule="auto"/>
          <w:widowControl w:val="0"/>
          <w:pBdr>
            <w:top w:val="nil" w:sz="0" w:space="3" w:color="000000" tmln="20, 20, 20, 0, 60"/>
            <w:left w:val="nil" w:sz="0" w:space="3" w:color="000000" tmln="20, 20, 20, 0, 60"/>
            <w:bottom w:val="nil" w:sz="0" w:space="3" w:color="000000" tmln="20, 20, 20, 0, 60"/>
            <w:right w:val="nil" w:sz="0" w:space="3" w:color="000000" tmln="20, 20, 20, 0, 60"/>
            <w:between w:val="nil" w:sz="0" w:space="0" w:color="000000" tmln="20, 20, 20, 0, 0"/>
          </w:pBdr>
          <w:shd w:val="none"/>
        </w:pPr>
      </w:tblPr>
      <w:tblGrid>
        <w:gridCol w:w="5458"/>
        <w:gridCol w:w="4819"/>
      </w:tblGrid>
      <w:tr>
        <w:trPr>
          <w:tblHeader w:val="0"/>
          <w:cantSplit w:val="0"/>
          <w:trHeight w:val="0" w:hRule="auto"/>
        </w:trPr>
        <w:tc>
          <w:tcPr>
            <w:tcW w:w="5458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widowControl w:val="0"/>
              <w:tabs defTabSz="708">
                <w:tab w:val="left" w:pos="7797" w:leader="none"/>
              </w:tabs>
              <w:rPr>
                <w:rFonts w:ascii="Times New Roman" w:hAnsi="Times New Roman" w:eastAsia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6"/>
              </w:rPr>
              <w:t>Министр национальной политики</w:t>
            </w:r>
          </w:p>
          <w:p>
            <w:pPr>
              <w:spacing w:after="0" w:line="240" w:lineRule="auto"/>
              <w:widowControl w:val="0"/>
              <w:tabs defTabSz="708">
                <w:tab w:val="left" w:pos="7797" w:leader="none"/>
              </w:tabs>
              <w:rPr>
                <w:rFonts w:ascii="Times New Roman" w:hAnsi="Times New Roman" w:eastAsia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6"/>
              </w:rPr>
              <w:t>Удмуртской Республики</w:t>
            </w:r>
          </w:p>
        </w:tc>
        <w:tc>
          <w:tcPr>
            <w:tcW w:w="4819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ind w:firstLine="709"/>
              <w:spacing w:after="0" w:line="240" w:lineRule="auto"/>
              <w:jc w:val="right"/>
              <w:widowControl w:val="0"/>
              <w:tabs defTabSz="708">
                <w:tab w:val="left" w:pos="7797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</w:rPr>
            </w:r>
          </w:p>
          <w:p>
            <w:pPr>
              <w:ind w:firstLine="709"/>
              <w:spacing w:after="0" w:line="240" w:lineRule="auto"/>
              <w:jc w:val="right"/>
              <w:widowControl w:val="0"/>
              <w:tabs defTabSz="708">
                <w:tab w:val="left" w:pos="7797" w:leader="none"/>
              </w:tabs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6"/>
              </w:rPr>
              <w:t>Э.С. Петров</w:t>
            </w:r>
          </w:p>
        </w:tc>
      </w:tr>
    </w:tbl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/>
        <w:contextualSpacing/>
        <w:widowControl w:val="0"/>
      </w:pPr>
      <w:r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>
      <w:pPr>
        <w:ind w:firstLine="70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Удмуртской Республики</w:t>
      </w:r>
    </w:p>
    <w:p>
      <w:pPr>
        <w:ind w:firstLine="70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из бюджета</w:t>
      </w:r>
    </w:p>
    <w:p>
      <w:pPr>
        <w:ind w:firstLine="70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субсидии Межрегиональной общественной организации «Всеудмуртская ассоциация «Удмурт Кенеш»</w:t>
      </w:r>
    </w:p>
    <w:p>
      <w:pPr>
        <w:ind w:firstLine="708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85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firstLine="85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Предлагаемый проект постановления вносится в целях финансового обеспечения затрат на осуществление уставной деятельности Межрегиональной общественной организация «Всеудмуртская ассоциация «Удмурт Кенеш» в сфере сохранения и развития удмуртского языка, культуры, традиций удмуртского народа, повышения его национального самосознания и духовности.</w:t>
      </w:r>
    </w:p>
    <w:p>
      <w:pPr>
        <w:ind w:firstLine="85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Положения о порядке предоставления из бюджета Удмуртской Республики субсидии Межрегиональной общественной организации «Всеудмуртская ассоциация «Удмурт Кенеш» разработан в соответствии с письмом Министерства финансов Удмуртской Республики от 31.05.2023 года № 2482/15-12.</w:t>
      </w:r>
    </w:p>
    <w:p>
      <w:pPr>
        <w:ind w:firstLine="851"/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Межрегиональная организация «Всеудмуртская ассоциация «Удмурт Кенеш»  является одной из самых многочисленных и авторитетных национально-культурных общественных организаций Удмуртской Республики, миссия которой заключается в повышении статуса удмуртского языка, сохранении и развитии уникальной традиционной и современной культуры удмуртского народа и укреплении его этнического самосознания и самоидентичности.</w:t>
      </w:r>
    </w:p>
    <w:p>
      <w:pPr>
        <w:ind w:firstLine="851"/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рамках уставной деятельности ассоциация «Удмурт Кенеш» совместно с органами власти успешно работает над решением важных задач по реализации государственной национальной политики и актуальных задач в отраслях образования, культуры, социальной сферы и подготовки кадров, реализует проекты и мероприятия, направленные на сохранение и популяризацию удмуртского языка и культуры среди детей и молодежи.</w:t>
      </w:r>
    </w:p>
    <w:p>
      <w:pPr>
        <w:ind w:firstLine="851"/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Особое внимание организацией уделяется вопросам преподавания удмуртского языка в образовательных учреждениях Удмуртской Республики и созданию инновационных площадок и кустовых гимназий с углубленным изучением удмуртского языка. </w:t>
      </w:r>
    </w:p>
    <w:p>
      <w:pPr>
        <w:ind w:firstLine="851"/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Ассоциация «Удмурт Кенеш» работает в тесном сотрудничестве с удмуртской диаспорой. Одной из добрых традиций такого сотрудничества стало проведение Дней удмуртской культуры в регионах с компактным проживанием удмуртов.</w:t>
      </w:r>
    </w:p>
    <w:p>
      <w:pPr>
        <w:ind w:firstLine="708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Вклад, который «Удмурт Кенеш» вносит в повышение самосознания удмуртского народа и развитие национальной культуры, является неоценимым для укрепления авторитета Удмуртской Республики и межнационального согласия в регионе.</w:t>
      </w:r>
    </w:p>
    <w:p>
      <w:pPr>
        <w:ind w:firstLine="851"/>
        <w:spacing w:after="0"/>
        <w:jc w:val="both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 w:bidi="hi-in"/>
        </w:rPr>
      </w:r>
    </w:p>
    <w:p>
      <w:pPr>
        <w:ind w:firstLine="851"/>
        <w:spacing w:after="0"/>
        <w:jc w:val="both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 w:bidi="hi-in"/>
        </w:rPr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 w:bidi="hi-in"/>
        </w:rPr>
        <w:t>Смета</w:t>
      </w:r>
    </w:p>
    <w:p>
      <w:pPr>
        <w:spacing w:after="0" w:line="240" w:lineRule="auto"/>
        <w:jc w:val="center"/>
        <w:suppressAutoHyphens/>
        <w:hyphenationLines w:val="0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 w:bidi="hi-in"/>
        </w:rPr>
      </w:r>
    </w:p>
    <w:tbl>
      <w:tblPr>
        <w:name w:val="Таблица2"/>
        <w:tabOrder w:val="0"/>
        <w:jc w:val="left"/>
        <w:tblInd w:w="-318" w:type="dxa"/>
        <w:tblW w:w="9924" w:type="dxa"/>
        <w:pPr>
          <w:ind w:left="-318"/>
          <w:spacing w:after="0" w:line="240" w:lineRule="auto"/>
          <w:widowControl w:val="0"/>
          <w:pBdr>
            <w:top w:val="nil" w:sz="0" w:space="3" w:color="000000" tmln="20, 20, 20, 0, 60"/>
            <w:left w:val="nil" w:sz="0" w:space="3" w:color="000000" tmln="20, 20, 20, 0, 60"/>
            <w:bottom w:val="nil" w:sz="0" w:space="3" w:color="000000" tmln="20, 20, 20, 0, 60"/>
            <w:right w:val="nil" w:sz="0" w:space="3" w:color="000000" tmln="20, 20, 20, 0, 60"/>
            <w:between w:val="nil" w:sz="0" w:space="0" w:color="000000" tmln="20, 20, 20, 0, 0"/>
          </w:pBdr>
          <w:shd w:val="none"/>
        </w:pPr>
      </w:tblPr>
      <w:tblGrid>
        <w:gridCol w:w="710"/>
        <w:gridCol w:w="3260"/>
        <w:gridCol w:w="2552"/>
        <w:gridCol w:w="3402"/>
      </w:tblGrid>
      <w:tr>
        <w:trPr>
          <w:tblHeader w:val="0"/>
          <w:cantSplit w:val="0"/>
          <w:trHeight w:val="0" w:hRule="auto"/>
        </w:trPr>
        <w:tc>
          <w:tcPr>
            <w:tcW w:w="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2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255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  <w:tc>
          <w:tcPr>
            <w:tcW w:w="340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8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(количество, цены и т.д.)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924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numPr>
                <w:ilvl w:val="0"/>
                <w:numId w:val="1"/>
              </w:numPr>
              <w:ind w:left="644" w:hanging="360"/>
              <w:spacing w:before="100" w:after="100" w:beforeAutospacing="1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2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 бухгалтера (с учетом взносов ФОТ)</w:t>
            </w:r>
          </w:p>
        </w:tc>
        <w:tc>
          <w:tcPr>
            <w:tcW w:w="255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204 000,00</w:t>
            </w:r>
          </w:p>
        </w:tc>
        <w:tc>
          <w:tcPr>
            <w:tcW w:w="340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мес 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17 000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 руб.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numPr>
                <w:ilvl w:val="0"/>
                <w:numId w:val="1"/>
              </w:numPr>
              <w:ind w:left="644" w:hanging="360"/>
              <w:spacing w:before="100" w:after="100" w:beforeAutospacing="1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2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Аренда зала для проведения мероприятий</w:t>
            </w:r>
          </w:p>
        </w:tc>
        <w:tc>
          <w:tcPr>
            <w:tcW w:w="255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100 000,00</w:t>
            </w:r>
          </w:p>
        </w:tc>
        <w:tc>
          <w:tcPr>
            <w:tcW w:w="340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Торжественные мероприятия, научные конференции (минимум в год 8,5 часов. Стоимость часа 11 842, 00)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numPr>
                <w:ilvl w:val="0"/>
                <w:numId w:val="1"/>
              </w:numPr>
              <w:ind w:left="644" w:hanging="360"/>
              <w:spacing w:before="100" w:after="100" w:beforeAutospacing="1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2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сайта Ассоциации «Удмурт Кенеш» (обслуживание)</w:t>
            </w:r>
          </w:p>
        </w:tc>
        <w:tc>
          <w:tcPr>
            <w:tcW w:w="255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35 000,00</w:t>
            </w:r>
          </w:p>
        </w:tc>
        <w:tc>
          <w:tcPr>
            <w:tcW w:w="340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работа 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-программистом (создание макета сайта - размещение новых разделов, доработка некоторых страниц, перенос сайта на другую платформу, улучшение визуализации)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numPr>
                <w:ilvl w:val="0"/>
                <w:numId w:val="1"/>
              </w:numPr>
              <w:ind w:left="644" w:hanging="360"/>
              <w:spacing w:before="100" w:after="100" w:beforeAutospacing="1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2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Тиражирование раздаточных материалов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(печатная продукция)</w:t>
            </w:r>
          </w:p>
        </w:tc>
        <w:tc>
          <w:tcPr>
            <w:tcW w:w="255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b/>
                <w:highlight w:val="yellow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46 000,00</w:t>
            </w:r>
            <w:r>
              <w:rPr>
                <w:rFonts w:ascii="Times New Roman" w:hAnsi="Times New Roman" w:cs="Times New Roman"/>
                <w:b/>
                <w:highlight w:val="yellow"/>
                <w:sz w:val="26"/>
                <w:szCs w:val="26"/>
              </w:rPr>
            </w:r>
          </w:p>
        </w:tc>
        <w:tc>
          <w:tcPr>
            <w:tcW w:w="340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Таукароны (Благодарности) (1 Х 75) – 200 шт., 15 000, 00 руб.  </w:t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Сертификаты (1 Х 60) – 100 шт., 6000 руб. </w:t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Дипломы, Свидетельства – </w:t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4500 руб. </w:t>
            </w:r>
          </w:p>
          <w:p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Справочные документы, брошюры, программы, пригласительные, открытки для проведения заседаний исполкома, Национальных собраний, научно-практических конференций, торжественных мероприятий Ассоциации – минимум в год 25 000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numPr>
                <w:ilvl w:val="0"/>
                <w:numId w:val="1"/>
              </w:numPr>
              <w:ind w:left="644" w:hanging="360"/>
              <w:spacing w:before="100" w:after="100" w:beforeAutospacing="1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2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профессиональных коллективов и ведущих</w:t>
            </w:r>
          </w:p>
        </w:tc>
        <w:tc>
          <w:tcPr>
            <w:tcW w:w="255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100 000,00</w:t>
            </w:r>
          </w:p>
        </w:tc>
        <w:tc>
          <w:tcPr>
            <w:tcW w:w="340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Ведущие мероприятий, организованных в рамках плана Ассоциации в течение года – 20 000, 00 руб. </w:t>
            </w:r>
          </w:p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Выступление артистов на мероприятиях,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организованных в рамках плана Ассоциации в течение года – 80 000,00 руб.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numPr>
                <w:ilvl w:val="0"/>
                <w:numId w:val="1"/>
              </w:numPr>
              <w:ind w:left="644" w:hanging="360"/>
              <w:spacing w:before="100" w:after="100" w:beforeAutospacing="1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2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Поощрительные призы активистам национального движение</w:t>
            </w:r>
          </w:p>
        </w:tc>
        <w:tc>
          <w:tcPr>
            <w:tcW w:w="255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52 500,00</w:t>
            </w:r>
          </w:p>
        </w:tc>
        <w:tc>
          <w:tcPr>
            <w:tcW w:w="340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Наборы подарков, национальной сувенирной продукции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numPr>
                <w:ilvl w:val="0"/>
                <w:numId w:val="1"/>
              </w:numPr>
              <w:ind w:left="644" w:hanging="360"/>
              <w:spacing w:before="100" w:after="100" w:beforeAutospacing="1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2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канцтоваров</w:t>
            </w:r>
          </w:p>
        </w:tc>
        <w:tc>
          <w:tcPr>
            <w:tcW w:w="255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32 500,00</w:t>
            </w:r>
          </w:p>
        </w:tc>
        <w:tc>
          <w:tcPr>
            <w:tcW w:w="340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Приобретение канцтоваров (бумага А4 для бухгалтерских документаций, отчетов – 10 коробок х 1000, 00 руб., рамки деревянные для Благодарностей, Дипломов, Сертификатов – 150 шт. х 150,00руб.) – 22 500,00 руб.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numPr>
                <w:ilvl w:val="0"/>
                <w:numId w:val="1"/>
              </w:numPr>
              <w:ind w:left="644" w:hanging="360"/>
              <w:spacing w:before="100" w:after="100" w:beforeAutospacing="1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2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Помощь районным отделениям «Удмурт Кенеш» </w:t>
            </w:r>
          </w:p>
        </w:tc>
        <w:tc>
          <w:tcPr>
            <w:tcW w:w="255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30 000,00</w:t>
            </w:r>
          </w:p>
        </w:tc>
        <w:tc>
          <w:tcPr>
            <w:tcW w:w="340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Закупка книжной продукции (краеведческая, художественная литература, детские издания, методические материалы) для организации и проведения мероприятий в школах и детских садах – минимум 30 000,00 руб.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71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  <w:tc>
          <w:tcPr>
            <w:tcW w:w="3260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55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600 000, 00</w:t>
            </w:r>
          </w:p>
        </w:tc>
        <w:tc>
          <w:tcPr>
            <w:tcW w:w="3402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before="100" w:after="100" w:beforeAutospacing="1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371" w:hRule="atLeast"/>
        </w:trPr>
        <w:tc>
          <w:tcPr>
            <w:tcW w:w="9924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694" w:hRule="atLeast"/>
        </w:trPr>
        <w:tc>
          <w:tcPr>
            <w:tcW w:w="9924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307" w:hRule="atLeast"/>
        </w:trPr>
        <w:tc>
          <w:tcPr>
            <w:tcW w:w="9924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648" w:hRule="atLeast"/>
        </w:trPr>
        <w:tc>
          <w:tcPr>
            <w:tcW w:w="9924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395" w:hRule="atLeast"/>
        </w:trPr>
        <w:tc>
          <w:tcPr>
            <w:tcW w:w="9924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</w:r>
          </w:p>
        </w:tc>
      </w:tr>
      <w:tr>
        <w:trPr>
          <w:tblHeader w:val="0"/>
          <w:cantSplit w:val="0"/>
          <w:trHeight w:val="566" w:hRule="atLeast"/>
        </w:trPr>
        <w:tc>
          <w:tcPr>
            <w:tcW w:w="9924" w:type="dxa"/>
            <w:gridSpan w:val="4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99946280" protected="1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spacing w:after="0" w:line="240" w:lineRule="auto"/>
        <w:jc w:val="both"/>
        <w:suppressAutoHyphens/>
        <w:hyphenationLines w:val="0"/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eastAsia="Times New Roman" w:cs="Times New Roman"/>
          <w:b/>
          <w:kern w:val="1"/>
          <w:sz w:val="28"/>
          <w:szCs w:val="28"/>
          <w:lang w:eastAsia="zh-cn" w:bidi="hi-in"/>
        </w:rPr>
      </w:r>
    </w:p>
    <w:p>
      <w:pPr>
        <w:spacing w:after="0"/>
        <w:contextualSpacing/>
        <w:jc w:val="center"/>
        <w:widowControl w:val="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134" w:top="567" w:right="567" w:bottom="1135"/>
      <w:paperSrc w:first="0" w:other="0" a="0" b="0"/>
      <w:pgNumType w:fmt="decimal"/>
      <w:tmGutter w:val="5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№Е">
    <w:panose1 w:val="02020603050405020304"/>
    <w:charset w:val="00"/>
    <w:family w:val="roman"/>
    <w:pitch w:val="default"/>
  </w:font>
  <w:font w:name="Lucida Grande">
    <w:panose1 w:val="02020603050405020304"/>
    <w:charset w:val="00"/>
    <w:family w:val="roman"/>
    <w:pitch w:val="default"/>
  </w:font>
  <w:font w:name="ヒラギノ角ゴ Pro W3">
    <w:panose1 w:val="02020603050405020304"/>
    <w:charset w:val="00"/>
    <w:family w:val="roman"/>
    <w:pitch w:val="default"/>
  </w:font>
  <w:font w:name="Arial Unicode MS">
    <w:panose1 w:val="020B0604020202020204"/>
    <w:charset w:val="00"/>
    <w:family w:val="swiss"/>
    <w:pitch w:val="default"/>
  </w:font>
  <w:font w:name="Mangal">
    <w:panose1 w:val="020206030504050203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0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99946280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para1">
    <w:name w:val="heading 2"/>
    <w:qFormat/>
    <w:basedOn w:val="para0"/>
    <w:next w:val="para0"/>
    <w:pPr>
      <w:ind w:firstLine="360"/>
      <w:spacing w:after="0" w:line="240" w:lineRule="auto"/>
      <w:jc w:val="both"/>
      <w:keepNext/>
      <w:outlineLvl w:val="1"/>
    </w:pPr>
    <w:rPr>
      <w:rFonts w:ascii="Times New Roman" w:hAnsi="Times New Roman" w:eastAsia="Times New Roman" w:cs="Times New Roman"/>
      <w:sz w:val="28"/>
      <w:szCs w:val="24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3">
    <w:name w:val="List Paragraph"/>
    <w:qFormat/>
    <w:basedOn w:val="para0"/>
    <w:pPr>
      <w:ind w:left="720"/>
      <w:contextualSpacing/>
    </w:pPr>
    <w:rPr>
      <w:rFonts w:eastAsia="Times New Roman" w:cs="Times New Roman"/>
    </w:rPr>
  </w:style>
  <w:style w:type="paragraph" w:styleId="para4" w:customStyle="1">
    <w:name w:val="ParaAttribute1"/>
    <w:qFormat/>
    <w:pPr>
      <w:spacing w:after="0" w:line="240" w:lineRule="auto"/>
      <w:jc w:val="center"/>
    </w:pPr>
    <w:rPr>
      <w:rFonts w:eastAsia="№Е"/>
      <w:lang w:val="ru-ru" w:eastAsia="ru-ru" w:bidi="ar-sa"/>
    </w:rPr>
  </w:style>
  <w:style w:type="paragraph" w:styleId="para5" w:customStyle="1">
    <w:name w:val="ParaAttribute2"/>
    <w:qFormat/>
    <w:pPr>
      <w:ind w:right="-1"/>
      <w:spacing w:after="0" w:line="240" w:lineRule="auto"/>
      <w:jc w:val="center"/>
    </w:pPr>
    <w:rPr>
      <w:rFonts w:eastAsia="№Е"/>
      <w:lang w:val="ru-ru" w:eastAsia="ru-ru" w:bidi="ar-sa"/>
    </w:rPr>
  </w:style>
  <w:style w:type="paragraph" w:styleId="para6" w:customStyle="1">
    <w:name w:val="Прижатый влево"/>
    <w:qFormat/>
    <w:basedOn w:val="para0"/>
    <w:next w:val="para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para7" w:customStyle="1">
    <w:name w:val="p2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8" w:customStyle="1">
    <w:name w:val="Обычный1"/>
    <w:qFormat/>
    <w:rPr>
      <w:rFonts w:ascii="Lucida Grande" w:hAnsi="Lucida Grande" w:eastAsia="ヒラギノ角ゴ Pro W3" w:cs="Lucida Grande"/>
      <w:color w:val="000000"/>
      <w:sz w:val="22"/>
      <w:shd w:val="clear" w:fill="ffffff"/>
      <w:lang w:val="ru-ru" w:eastAsia="ru-ru" w:bidi="ar-sa"/>
    </w:rPr>
  </w:style>
  <w:style w:type="paragraph" w:styleId="para9">
    <w:name w:val="Body Text 2"/>
    <w:qFormat/>
    <w:basedOn w:val="para0"/>
    <w:pPr>
      <w:spacing w:after="120" w:line="480" w:lineRule="auto"/>
    </w:pPr>
    <w:rPr>
      <w:lang w:eastAsia="en-us"/>
    </w:rPr>
  </w:style>
  <w:style w:type="paragraph" w:styleId="para10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para11" w:customStyle="1">
    <w:name w:val="Основной текст 31"/>
    <w:qFormat/>
    <w:basedOn w:val="para0"/>
    <w:pPr>
      <w:spacing w:after="120"/>
      <w:suppressAutoHyphens/>
      <w:hyphenationLines w:val="0"/>
    </w:pPr>
    <w:rPr>
      <w:rFonts w:eastAsia="Times New Roman"/>
      <w:kern w:val="1"/>
      <w:sz w:val="16"/>
      <w:szCs w:val="20"/>
      <w:lang w:eastAsia="zh-cn" w:bidi="hi-in"/>
    </w:rPr>
  </w:style>
  <w:style w:type="paragraph" w:styleId="para12" w:customStyle="1">
    <w:name w:val="Default"/>
    <w:qFormat/>
    <w:pPr>
      <w:spacing w:after="0" w:line="240" w:lineRule="auto"/>
      <w:suppressAutoHyphens/>
      <w:hyphenationLines w:val="0"/>
    </w:pPr>
    <w:rPr>
      <w:rFonts w:ascii="Arial" w:hAnsi="Arial" w:eastAsia="Arial Unicode MS" w:cs="Mangal"/>
      <w:color w:val="000000"/>
      <w:kern w:val="1"/>
      <w:sz w:val="24"/>
      <w:szCs w:val="24"/>
      <w:lang w:val="ru-ru" w:eastAsia="hi-in" w:bidi="hi-in"/>
    </w:rPr>
  </w:style>
  <w:style w:type="paragraph" w:styleId="para13" w:customStyle="1">
    <w:name w:val="ConsPlusNormal"/>
    <w:qFormat/>
    <w:pPr>
      <w:spacing w:after="0" w:line="240" w:lineRule="auto"/>
      <w:widowControl w:val="0"/>
    </w:pPr>
    <w:rPr>
      <w:rFonts w:ascii="Arial" w:hAnsi="Arial" w:cs="Arial"/>
      <w:lang w:val="ru-ru" w:eastAsia="ru-ru" w:bidi="ar-sa"/>
    </w:rPr>
  </w:style>
  <w:style w:type="character" w:styleId="char0" w:default="1">
    <w:name w:val="Default Paragraph Font"/>
    <w:basedOn w:val="char0"/>
  </w:style>
  <w:style w:type="character" w:styleId="char1" w:customStyle="1">
    <w:name w:val="Заголовок 2 Знак"/>
    <w:rPr>
      <w:rFonts w:ascii="Times New Roman" w:hAnsi="Times New Roman" w:eastAsia="Times New Roman" w:cs="Times New Roman"/>
      <w:sz w:val="28"/>
      <w:szCs w:val="24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" w:customStyle="1">
    <w:name w:val="CharAttribute0"/>
    <w:rPr>
      <w:rFonts w:ascii="Times New Roman" w:hAnsi="Times New Roman" w:eastAsia="Calibri"/>
      <w:b/>
      <w:sz w:val="28"/>
    </w:rPr>
  </w:style>
  <w:style w:type="character" w:styleId="char4" w:customStyle="1">
    <w:name w:val="CharAttribute17"/>
    <w:rPr>
      <w:rFonts w:ascii="Times New Roman" w:hAnsi="Times New Roman" w:eastAsia="Calibri"/>
      <w:sz w:val="28"/>
    </w:rPr>
  </w:style>
  <w:style w:type="character" w:styleId="char5" w:customStyle="1">
    <w:name w:val="CharAttribute13"/>
    <w:rPr>
      <w:rFonts w:ascii="Times New Roman" w:hAnsi="Times New Roman" w:eastAsia="Times New Roman"/>
      <w:sz w:val="28"/>
    </w:rPr>
  </w:style>
  <w:style w:type="character" w:styleId="char6" w:customStyle="1">
    <w:name w:val="CharAttribute21"/>
    <w:rPr>
      <w:rFonts w:ascii="Times New Roman" w:hAnsi="Times New Roman" w:eastAsia="Calibri"/>
      <w:sz w:val="28"/>
    </w:rPr>
  </w:style>
  <w:style w:type="character" w:styleId="char7" w:customStyle="1">
    <w:name w:val="CharAttribute22"/>
    <w:rPr>
      <w:rFonts w:ascii="Times New Roman" w:hAnsi="Times New Roman" w:eastAsia="Calibri"/>
      <w:sz w:val="28"/>
    </w:rPr>
  </w:style>
  <w:style w:type="character" w:styleId="char8" w:customStyle="1">
    <w:name w:val="CharAttribute23"/>
    <w:rPr>
      <w:rFonts w:ascii="Times New Roman" w:hAnsi="Times New Roman" w:eastAsia="Calibri"/>
      <w:sz w:val="28"/>
    </w:rPr>
  </w:style>
  <w:style w:type="character" w:styleId="char9" w:customStyle="1">
    <w:name w:val="blk"/>
  </w:style>
  <w:style w:type="character" w:styleId="char10" w:customStyle="1">
    <w:name w:val="Основной текст 2 Знак"/>
    <w:rPr>
      <w:rFonts w:eastAsia="Calibri"/>
      <w:lang w:eastAsia="en-us"/>
    </w:rPr>
  </w:style>
  <w:style w:type="character" w:styleId="char1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spacing w:after="200" w:line="276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para1">
    <w:name w:val="heading 2"/>
    <w:qFormat/>
    <w:basedOn w:val="para0"/>
    <w:next w:val="para0"/>
    <w:pPr>
      <w:ind w:firstLine="360"/>
      <w:spacing w:after="0" w:line="240" w:lineRule="auto"/>
      <w:jc w:val="both"/>
      <w:keepNext/>
      <w:outlineLvl w:val="1"/>
    </w:pPr>
    <w:rPr>
      <w:rFonts w:ascii="Times New Roman" w:hAnsi="Times New Roman" w:eastAsia="Times New Roman" w:cs="Times New Roman"/>
      <w:sz w:val="28"/>
      <w:szCs w:val="24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3">
    <w:name w:val="List Paragraph"/>
    <w:qFormat/>
    <w:basedOn w:val="para0"/>
    <w:pPr>
      <w:ind w:left="720"/>
      <w:contextualSpacing/>
    </w:pPr>
    <w:rPr>
      <w:rFonts w:eastAsia="Times New Roman" w:cs="Times New Roman"/>
    </w:rPr>
  </w:style>
  <w:style w:type="paragraph" w:styleId="para4" w:customStyle="1">
    <w:name w:val="ParaAttribute1"/>
    <w:qFormat/>
    <w:pPr>
      <w:spacing w:after="0" w:line="240" w:lineRule="auto"/>
      <w:jc w:val="center"/>
    </w:pPr>
    <w:rPr>
      <w:rFonts w:eastAsia="№Е"/>
      <w:lang w:val="ru-ru" w:eastAsia="ru-ru" w:bidi="ar-sa"/>
    </w:rPr>
  </w:style>
  <w:style w:type="paragraph" w:styleId="para5" w:customStyle="1">
    <w:name w:val="ParaAttribute2"/>
    <w:qFormat/>
    <w:pPr>
      <w:ind w:right="-1"/>
      <w:spacing w:after="0" w:line="240" w:lineRule="auto"/>
      <w:jc w:val="center"/>
    </w:pPr>
    <w:rPr>
      <w:rFonts w:eastAsia="№Е"/>
      <w:lang w:val="ru-ru" w:eastAsia="ru-ru" w:bidi="ar-sa"/>
    </w:rPr>
  </w:style>
  <w:style w:type="paragraph" w:styleId="para6" w:customStyle="1">
    <w:name w:val="Прижатый влево"/>
    <w:qFormat/>
    <w:basedOn w:val="para0"/>
    <w:next w:val="para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para7" w:customStyle="1">
    <w:name w:val="p2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8" w:customStyle="1">
    <w:name w:val="Обычный1"/>
    <w:qFormat/>
    <w:rPr>
      <w:rFonts w:ascii="Lucida Grande" w:hAnsi="Lucida Grande" w:eastAsia="ヒラギノ角ゴ Pro W3" w:cs="Lucida Grande"/>
      <w:color w:val="000000"/>
      <w:sz w:val="22"/>
      <w:shd w:val="clear" w:fill="ffffff"/>
      <w:lang w:val="ru-ru" w:eastAsia="ru-ru" w:bidi="ar-sa"/>
    </w:rPr>
  </w:style>
  <w:style w:type="paragraph" w:styleId="para9">
    <w:name w:val="Body Text 2"/>
    <w:qFormat/>
    <w:basedOn w:val="para0"/>
    <w:pPr>
      <w:spacing w:after="120" w:line="480" w:lineRule="auto"/>
    </w:pPr>
    <w:rPr>
      <w:lang w:eastAsia="en-us"/>
    </w:rPr>
  </w:style>
  <w:style w:type="paragraph" w:styleId="para10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para11" w:customStyle="1">
    <w:name w:val="Основной текст 31"/>
    <w:qFormat/>
    <w:basedOn w:val="para0"/>
    <w:pPr>
      <w:spacing w:after="120"/>
      <w:suppressAutoHyphens/>
      <w:hyphenationLines w:val="0"/>
    </w:pPr>
    <w:rPr>
      <w:rFonts w:eastAsia="Times New Roman"/>
      <w:kern w:val="1"/>
      <w:sz w:val="16"/>
      <w:szCs w:val="20"/>
      <w:lang w:eastAsia="zh-cn" w:bidi="hi-in"/>
    </w:rPr>
  </w:style>
  <w:style w:type="paragraph" w:styleId="para12" w:customStyle="1">
    <w:name w:val="Default"/>
    <w:qFormat/>
    <w:pPr>
      <w:spacing w:after="0" w:line="240" w:lineRule="auto"/>
      <w:suppressAutoHyphens/>
      <w:hyphenationLines w:val="0"/>
    </w:pPr>
    <w:rPr>
      <w:rFonts w:ascii="Arial" w:hAnsi="Arial" w:eastAsia="Arial Unicode MS" w:cs="Mangal"/>
      <w:color w:val="000000"/>
      <w:kern w:val="1"/>
      <w:sz w:val="24"/>
      <w:szCs w:val="24"/>
      <w:lang w:val="ru-ru" w:eastAsia="hi-in" w:bidi="hi-in"/>
    </w:rPr>
  </w:style>
  <w:style w:type="paragraph" w:styleId="para13" w:customStyle="1">
    <w:name w:val="ConsPlusNormal"/>
    <w:qFormat/>
    <w:pPr>
      <w:spacing w:after="0" w:line="240" w:lineRule="auto"/>
      <w:widowControl w:val="0"/>
    </w:pPr>
    <w:rPr>
      <w:rFonts w:ascii="Arial" w:hAnsi="Arial" w:cs="Arial"/>
      <w:lang w:val="ru-ru" w:eastAsia="ru-ru" w:bidi="ar-sa"/>
    </w:rPr>
  </w:style>
  <w:style w:type="character" w:styleId="char0" w:default="1">
    <w:name w:val="Default Paragraph Font"/>
    <w:basedOn w:val="char0"/>
  </w:style>
  <w:style w:type="character" w:styleId="char1" w:customStyle="1">
    <w:name w:val="Заголовок 2 Знак"/>
    <w:rPr>
      <w:rFonts w:ascii="Times New Roman" w:hAnsi="Times New Roman" w:eastAsia="Times New Roman" w:cs="Times New Roman"/>
      <w:sz w:val="28"/>
      <w:szCs w:val="24"/>
    </w:rPr>
  </w:style>
  <w:style w:type="character" w:styleId="char2" w:customStyle="1">
    <w:name w:val="Текст выноски Знак"/>
    <w:rPr>
      <w:rFonts w:ascii="Tahoma" w:hAnsi="Tahoma" w:cs="Tahoma"/>
      <w:sz w:val="16"/>
      <w:szCs w:val="16"/>
    </w:rPr>
  </w:style>
  <w:style w:type="character" w:styleId="char3" w:customStyle="1">
    <w:name w:val="CharAttribute0"/>
    <w:rPr>
      <w:rFonts w:ascii="Times New Roman" w:hAnsi="Times New Roman" w:eastAsia="Calibri"/>
      <w:b/>
      <w:sz w:val="28"/>
    </w:rPr>
  </w:style>
  <w:style w:type="character" w:styleId="char4" w:customStyle="1">
    <w:name w:val="CharAttribute17"/>
    <w:rPr>
      <w:rFonts w:ascii="Times New Roman" w:hAnsi="Times New Roman" w:eastAsia="Calibri"/>
      <w:sz w:val="28"/>
    </w:rPr>
  </w:style>
  <w:style w:type="character" w:styleId="char5" w:customStyle="1">
    <w:name w:val="CharAttribute13"/>
    <w:rPr>
      <w:rFonts w:ascii="Times New Roman" w:hAnsi="Times New Roman" w:eastAsia="Times New Roman"/>
      <w:sz w:val="28"/>
    </w:rPr>
  </w:style>
  <w:style w:type="character" w:styleId="char6" w:customStyle="1">
    <w:name w:val="CharAttribute21"/>
    <w:rPr>
      <w:rFonts w:ascii="Times New Roman" w:hAnsi="Times New Roman" w:eastAsia="Calibri"/>
      <w:sz w:val="28"/>
    </w:rPr>
  </w:style>
  <w:style w:type="character" w:styleId="char7" w:customStyle="1">
    <w:name w:val="CharAttribute22"/>
    <w:rPr>
      <w:rFonts w:ascii="Times New Roman" w:hAnsi="Times New Roman" w:eastAsia="Calibri"/>
      <w:sz w:val="28"/>
    </w:rPr>
  </w:style>
  <w:style w:type="character" w:styleId="char8" w:customStyle="1">
    <w:name w:val="CharAttribute23"/>
    <w:rPr>
      <w:rFonts w:ascii="Times New Roman" w:hAnsi="Times New Roman" w:eastAsia="Calibri"/>
      <w:sz w:val="28"/>
    </w:rPr>
  </w:style>
  <w:style w:type="character" w:styleId="char9" w:customStyle="1">
    <w:name w:val="blk"/>
  </w:style>
  <w:style w:type="character" w:styleId="char10" w:customStyle="1">
    <w:name w:val="Основной текст 2 Знак"/>
    <w:rPr>
      <w:rFonts w:eastAsia="Calibri"/>
      <w:lang w:eastAsia="en-us"/>
    </w:rPr>
  </w:style>
  <w:style w:type="character" w:styleId="char1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</dc:creator>
  <cp:keywords/>
  <dc:description/>
  <cp:lastModifiedBy>Корепанов Александр Юрьевич</cp:lastModifiedBy>
  <cp:revision>4</cp:revision>
  <cp:lastPrinted>2017-10-11T13:01:00Z</cp:lastPrinted>
  <dcterms:created xsi:type="dcterms:W3CDTF">2023-11-14T07:18:00Z</dcterms:created>
  <dcterms:modified xsi:type="dcterms:W3CDTF">2023-11-14T07:18:00Z</dcterms:modified>
</cp:coreProperties>
</file>