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 ПРОВЕДЕННЫХ ПРОВЕРКАХ МИННАЦЕМ УР В 202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ГОДУ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tbl>
      <w:tblPr>
        <w:tblStyle w:val="686"/>
        <w:tblpPr w:horzAnchor="page" w:tblpX="1137" w:vertAnchor="page" w:tblpY="1559" w:leftFromText="180" w:topFromText="0" w:rightFromText="180" w:bottomFromText="0"/>
        <w:tblW w:w="15021" w:type="dxa"/>
        <w:tblLayout w:type="fixed"/>
        <w:tblLook w:val="04A0" w:firstRow="1" w:lastRow="0" w:firstColumn="1" w:lastColumn="0" w:noHBand="0" w:noVBand="1"/>
      </w:tblPr>
      <w:tblGrid>
        <w:gridCol w:w="1838"/>
        <w:gridCol w:w="3394"/>
        <w:gridCol w:w="3410"/>
        <w:gridCol w:w="1559"/>
        <w:gridCol w:w="1418"/>
        <w:gridCol w:w="3402"/>
      </w:tblGrid>
      <w:tr>
        <w:tblPrEx/>
        <w:trPr>
          <w:trHeight w:val="1797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проверяемой организации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контрольного мероприятия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НПА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Проверяемый период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результатам проверки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дата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проверки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 УР «Дом Дружбы народов»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полноты и достоверности отчетности исполнения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Фед.закон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31.07.1998 №145-ФЗ,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приказы Миннаца УР: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№01-02/10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№01-02/0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2.03.2024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Нарушений не установлено.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 УР «Дом Дружбы народов»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Федерального закона от 18.07.2011г.  №223-ФЗ «О закупках товаров, услуг отдельными видами юридических лиц»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от 18.07.2011 №223-ФЗ, пост. Правит. УР 17.10.2018 №427,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приказы Миннаца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№01-02/1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№01-02/0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Нарушений не установлено.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 УР «Дом Дружбы народов»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05.04.2013 №44-ФЗ, пост.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равит.УР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17.10.2018 №427, приказы Миннаца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№01-02/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№01-02/0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существенных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установлено.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выявленным замечаниям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 УР «Дом Дружбы народов»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предоставлены пояснения.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Рекомендовано: усилить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экспертизой при приемке актов выполненных работ (оказанных услуг), товарных накладных;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новый порядок оплаты по контрактам, который установлен частью 13.1 статьи 34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05.04.2013 №44-ФЗ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допускать просроченной оплаты по контрактам/договорам.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81"/>
        </w:trPr>
        <w:tc>
          <w:tcPr>
            <w:tcW w:w="1838" w:type="dxa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БУ УР «Дом Дружбы народов»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94" w:type="dxa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Контроль за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соблюдением порядка предоставления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елевым использованием субсидий на иные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1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Приказы Миннаца УР: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от 14.12.2023 №01-02/106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от 23.08.2024 №01-02/057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20.09.2024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Нарушений не установлено.</w:t>
            </w:r>
            <w:r/>
          </w:p>
        </w:tc>
      </w:tr>
      <w:tr>
        <w:tblPrEx/>
        <w:trPr/>
        <w:tc>
          <w:tcPr>
            <w:tcW w:w="1838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Республиканская общественная организация «Общество белорусской культуры в Удмуртской Республике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Батьковщина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94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Контроль за соблюдением порядка предоставления и целевым использованием субсидий на реализацию проектов в сфере государственной национальной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Приказы Миннаца УР: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от 14.12.2023 №01-02/106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от 23.08.2024 №01-02/057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</w:pPr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20.09.2024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Нарушений не установлено.</w:t>
            </w:r>
            <w:r/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униципальное образование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"Город Сарапул"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94" w:type="dxa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Контроль за соблюдением порядка предоставления и целевым использованием субсидий на реализацию проектов в сфере государственной национальной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1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Приказы Миннаца УР: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от 14.12.2023 №01-02/106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от 23.08.2024 №01-02/057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</w:pP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20.09.2024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Нарушений не установлено.</w:t>
            </w:r>
            <w:r/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Скругина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Вероника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94" w:type="dxa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Контроль за соблюдением порядка предоставления и целевым использованием субсидий на реализацию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молодежного проекта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 сфере государственной национальной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1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Приказы Миннаца УР: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от 14.12.2023 №01-02/106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от 23.08.2024 №01-02/057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</w:pP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20.09.2024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Нарушений не установлено.</w:t>
            </w:r>
            <w:r/>
          </w:p>
        </w:tc>
      </w:tr>
    </w:tbl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r/>
      <w:r/>
    </w:p>
    <w:sectPr>
      <w:footnotePr/>
      <w:endnotePr/>
      <w:type w:val="nextPage"/>
      <w:pgSz w:w="16838" w:h="11906" w:orient="landscape"/>
      <w:pgMar w:top="992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2024-09-23T09:48:07Z</dcterms:modified>
</cp:coreProperties>
</file>