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>
        <w:rPr>
          <w:rFonts w:ascii="PT Astra Serif" w:hAnsi="PT Astra Serif" w:cs="Times New Roman"/>
          <w:b/>
          <w:sz w:val="28"/>
          <w:szCs w:val="28"/>
        </w:rPr>
        <w:t xml:space="preserve">РЕГИОНАЛЬНЫХ </w:t>
      </w:r>
      <w:r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УДМУРТСК</w:t>
      </w:r>
      <w:r>
        <w:rPr>
          <w:rFonts w:ascii="PT Astra Serif" w:hAnsi="PT Astra Serif" w:cs="Times New Roman"/>
          <w:b/>
          <w:sz w:val="28"/>
          <w:szCs w:val="28"/>
        </w:rPr>
        <w:t xml:space="preserve">ОЙ</w:t>
      </w:r>
      <w:r>
        <w:rPr>
          <w:rFonts w:ascii="PT Astra Serif" w:hAnsi="PT Astra Serif" w:cs="Times New Roman"/>
          <w:b/>
          <w:sz w:val="28"/>
          <w:szCs w:val="28"/>
        </w:rPr>
        <w:t xml:space="preserve"> РЕСПУБЛИКИ ВОЕННОСЛУЖАЩИМ</w:t>
      </w:r>
      <w:r>
        <w:rPr>
          <w:rFonts w:ascii="PT Astra Serif" w:hAnsi="PT Astra Serif" w:cs="Times New Roman"/>
          <w:b/>
          <w:sz w:val="28"/>
          <w:szCs w:val="28"/>
        </w:rPr>
        <w:t xml:space="preserve"> И ЧЛЕНАМ ИХ СЕМЕЙ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tbl>
      <w:tblPr>
        <w:tblStyle w:val="856"/>
        <w:tblW w:w="15310" w:type="dxa"/>
        <w:tblInd w:w="-176" w:type="dxa"/>
        <w:tblLook w:val="04A0" w:firstRow="1" w:lastRow="0" w:firstColumn="1" w:lastColumn="0" w:noHBand="0" w:noVBand="1"/>
      </w:tblPr>
      <w:tblGrid>
        <w:gridCol w:w="8789"/>
        <w:gridCol w:w="6521"/>
      </w:tblGrid>
      <w:tr>
        <w:tblPrEx/>
        <w:trPr/>
        <w:tc>
          <w:tcPr>
            <w:tcW w:w="87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равовые акты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, которыми установлены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Региональные льготы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Налоговые льготы по транспортному налогу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боевых действий, которым оказываются меры социальной поддержки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Федеральным </w:t>
            </w:r>
            <w:hyperlink r:id="rId11" w:tooltip="consultantplus://offline/ref=1EE389C0AF8615065B1E2472540ECC8A700EF6FA5D729F072EA2E16D4D64253412920D5D5DB45384714C6D4180u733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освобождаются от уплаты налога по одному транспортному средству, мощность двигателя которого не превышает 150 лошадиных сил (110,33 кВт) включительно.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которым оказываются меры социальной поддержки в соответствии с Федеральным </w:t>
            </w:r>
            <w:hyperlink r:id="rId12" w:tooltip="consultantplus://offline/ref=EDDF35E53AD3E6D94F461CE2F5582A0DD0639624D18203DF51DED4050904C0AE1E128A0465D50825B9EF200FD9E54E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уплачивают транспортный налог по одному транспортному средству, мощность двигателя которого не превышает 150 лошадиных сил (110,33 кВт), по ставке 50 процентов от размера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соответствующей ставки налога.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27.11.2002 № 63-РЗ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транспортном налоге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Право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следующих категорий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получение всех видо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рамках государственной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3" w:tooltip="consultantplus://offline/ref=DB357B178F0A84F0F26746C6CE32720557A4B1B4E3DFA5615A1813E55B07A5C4A043B2B95B6966416E79F7FB566F9583BE5CD59E78D8AD12iDyDH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пункте 6 статьи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Запорожской области и Херсонской области и (или) выполнения ими задач по отражению вооруженного вторжения на территори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вторжения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также члены семей указанных лиц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17.12.2012 № 70-РЗ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оказании бесплатной юридической помощи в Удмуртской Республике» (в редакции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07.07.2023 № 67-РЗ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04.06.2024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земельных участков из земель, находящихся в государственной или муниципальной собственности, расположенных на территории Удмуртской Республики, для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собственность бесплатно для индивидуального жилищного строительства земельных участков из земель, находящихся в государственной или муниципальной собственности, расположенных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 Удмуртской Республики</w:t>
            </w:r>
            <w:bookmarkStart w:id="0" w:name="Par0"/>
            <w:r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bookmarkStart w:id="1" w:name="Par2"/>
            <w:r/>
            <w:bookmarkEnd w:id="1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лицам, проходящим (проходившим) службу в войсках национальной гвардии Российской Федерации и имеющим специальные звания полиции, являющимся ветеранами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инвалидами боевых 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йствий,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удостоенным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звания Героя Российской Федерации или награжденным орденами Российской Федерации за заслуги, проявленные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ой области и Херсонской области, зарегистрированным на день завершения своего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Херсонской области на территории Удмуртской Республики по месту жительства, а при отсутствии такой регистрации – по месту пребывания, а так же одному из членов семьи указанных военнослужащих и лиц, поги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бших (умерших) вследствие увечья (ранения, травмы, контузии) или заболевания, полученных ими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области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Херсонской области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17.07.2023 № 68-РЗ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бесплатном предостав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поиске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работы, а также содействие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безработных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социальной поддержки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(далее – Указ № 647)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заключивших по направлению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следующие дополнительные меры социальной поддержки: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поиске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работы;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безработных членов семей, включая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ускоренном порядке единовременной финансовой помощи на открытие собственного дела;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членам семей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оформлении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социальных и иных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плат, мер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25.11.2022 № 315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начисления пеней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случае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редоставляется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членам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до прекращения действия указанного контракта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25.11.2022 № 316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Порядка освобождения граждан Российской Федерации, заключивших контракт о прохождении военной службы в связи с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в многоквартирном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47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образования,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призванны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№ 647 или проходящи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заключенному в соответствии с пунктом 7 статьи 38 Федерального закона от 28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.03.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1998 № 53-ФЗ «О воинской обязанности и военной службе»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(далее – Федеральный закон № 53-ФЗ)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(законны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),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добровольном содействии в выполнении задач, возложенных на войска национально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родителям (законным представителям) в случае гибели (смерти) одного из родителей (законных представителей), призванного на военную службу по мобилизации в Вооруженные Силы Российской Федерац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ии в соответствии с Указом № 647 или проходящего военную службу по контракту, заключенному в соответствии с пунктом 7 статьи 38 Федерального закона № 53-ФЗ, либо заключившего контракт о добровольном содействии в выполнении задач, возложенных на Вооруженные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Силы Российской Федерации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16.02.2023 № 26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28.11.2023 № 299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31.05.2024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оциальны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форме социального обслуживания на дому, а также в полустационарной и стационарной форме социального обслуживания в социально-реабилитационном центре для граждан пожилого возраста и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бесплатно следующим категориям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признанным нуждающимися в 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силу заболевания, травмы, возраста или наличия инвалидности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или поступившим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членам семьи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 на военную службу по мобилизации или поступивших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на период прохождения военной службы по мобилизации или на период действия контракт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о добровольном содействии в выполнении задач, возложенных на Вооруженные Силы Российской Федерации,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29.06.2023 № 154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Приостановление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исполнения обязательств по соглашениям о предоставлении грантов в форме субсидий из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продления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сроков достижения результатов предоставления грантов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601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по согласованию с Министерством экономики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28.07.2021 № 382 «Об утвер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ждении Порядка предоставления грантов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Удмуртской Республики от 20.09.2021 № 498, от 28.07.2022 № 394, от 26.12.2022 № 766, от 24.04.2023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262, от 12.07.2023 № 457)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Материальная помощь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размере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000 000 руб.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ими, лицами, проходящими службу в войсках национальной гвардии Российской Федерации и имеющими специальное звание полиции, погибшими (умершими) при выполнении специальных задач в ходе проведения специальной военной операции на территориях Украины, Донецкой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Народной Республики, Луганской Народной Республики, Запорожской области и Херсонской области (далее - специальная военная операция) либо умершими вследствие увечья (ранения, травмы, контузии), полученного при выполнении специальных задач в ходе проведения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и, погибшими (умершими) при выполнении специальных задач в ходе проведения специальной военной операции либо умершими вследствие увечья (ранения, травмы, контузии), полученного при выполнении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.09.2022 </w:t>
            </w:r>
            <w:hyperlink r:id="rId14" w:tooltip="consultantplus://offline/ref=4C9CAA8BDCDC7A8515C87DCBB6BBAD26F6877D07748E120F69876EF4578A057316F838865DFE06C7620A41B8F0F3F767C23B1D7F826FEDAC565041C1d9a6E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18.01.2024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spacing w:after="167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Материальная помощь в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размере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 500 000 руб.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имеющим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место жительства на территории Удмуртской Республики на день получения увечья (ранения, травмы, контузии)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военнослужащим, лицам, проходящим службу в войсках национальной гвардии Российской Федерации и имеющим специальное звание полиции, принимавши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 территориях Украины, Донецкой Народной Республики и Луган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принимавшим в добровольном порядке участие в специальной военной операции на территориях Украины, Донец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22.06.2022 № 323 «Об утверждении Порядка оказания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color w:val="392c6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14.09.2022 </w:t>
            </w:r>
            <w:hyperlink r:id="rId15" w:tooltip="consultantplus://offline/ref=8B3A21E1BB280D18F725E8E0EE37E51DBFA5BCCA90543704EBF94C8F1B0DC7F3BAE670A0A9D5B5059F5033AEFA0CC0A29EE5ED4403C504F710AC9468RAC0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01.09.2023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Установлено, что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доходы и суммы единовременной матер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6" w:tooltip="consultantplus://offline/ref=6342A5A6EDF32DD749AFBB8E214EA05814B10C6720EAAD6C162DDFBA2E7A59CED01669A1E71CD81E390F1FA7E51CD7A0CADB2AF50FB3E063N9SE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не учитываются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при расчете среднедушевого дохода семьи и дохода одиноко проживающего гражданина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мер социальной поддержки: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оказание государственной социальной помощи на основании социального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контракта;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пособия на ребенка, установленного </w:t>
            </w:r>
            <w:hyperlink r:id="rId17" w:tooltip="consultantplus://offline/ref=E39DD02B735479FC85928699C97CDBCC8BC55D46FC8C50C67DE1C8CAB5FF50D8BA6614A7382EDA59B6F2A20438560A42C6j9i8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23.12.2004 № 89-РЗ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адресной социальной защите населения в Удмуртской Республике»;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ежемесячной денежной выплаты нуждающимся в поддержке семьям при рождении в семье третьего и последующих детей, установленной </w:t>
            </w:r>
            <w:hyperlink r:id="rId18" w:tooltip="consultantplus://offline/ref=99306EFB6D1C095A8B3032AF900EBCB930DADDCCE9575F37F5D6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21 ноября 2017 года № 368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ежемесячной денежной выплаты нуждающимся в поддержке семьям при рождении в семье после 31 декабря 2017 года третьего и последующих детей», </w:t>
            </w:r>
            <w:hyperlink r:id="rId19" w:tooltip="consultantplus://offline/ref=99306EFB6D1C095A8B3032AF900EBCB930DADDCCE9575334F9D7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от 5 февраля 2018 года № 26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предоставления ежемесячной денежной выплаты нуждающимся в поддержке семьям при рождении в семье третьего и последующих детей»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19.12.2022 № 72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Внеочередное оказание медицинской помощи в медицинских организациях, находящихся на территории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2024 год и на плановый период 2025 и 2026 годов имеют: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войны;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включая ветеранов боевых действий,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уволенным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публичной власти Донецкой Народной Республики, Луганской Народной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погибших (умерших) инвалидов войны и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29.12.2023 № 890 «О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субсидий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 покупку и установку газоиспользующего оборудования,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убсиди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покупку и установку газоиспользующего оборудования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газораспределительным сетям при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Удмуртской Республике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размере планируемых затрат, но не более 100000 рублей, однократно в отношении одного домовладения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проживающих на территории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уртской Республики, в том числе,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участниками специальной военной операции, членами семей участников специальной военной операции, инвалидами боевых действий, ветеранами боевых действий, членами семей погибших (умерших) инвалидов боевых действий,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07.03.2024 № 110 «О предоставлении в 2024 году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18.04.2024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тсрочк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уплаты арендных платежей по договорам аренды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расторжение договор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аренды без применения штрафных санкций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34" w:firstLine="709"/>
              <w:jc w:val="both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тсрочка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арендных платежей по договорам аренды имущества, находящегося в собственности Удмуртской Республики, договорам аренды земельных участков, находящихся в соб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ственности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возможность расторжения таких договоров аренды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 применения штрафных санкций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арендаторам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являющимся физическими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том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числе индивидуальны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юридически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которых одно и то же физическое лицо является единственным учредителем (участником) юридического лица и его руководителем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если указанные физические лица,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проходят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заключили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распоряжения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28.02.2023 № 114-р)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предоставляются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в добровольческих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указанного периода, но вследствие увечья (ранения, травмы, контузии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или заболевания, полученных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путевки (направления)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доставляются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первоочередном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(пребыва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ситуации»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Министерства социальной политики и труда 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27.10.2022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10.06.2024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Организации медицинской помощи участникам специальной военной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«Центр психологической помощи участникам специальной военной операции и членам их семей» на функциональной основе на базе бюджетного учреждения здравоо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хранения Удмуртской Республики «Республиканский клинический центр психического здоровья Министерства здравоохранения Удмуртской Республики», обеспечена приоритетность при оказании медицинской помощи участникам специальной военной 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28.10.2022 № 1634 «Об организации медицинской помощи участникам специальной военной операции и членам их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платы, взимаемой с родителей (законных представителей) за присмотр и уход за детьми в образовательной организации, реализующей образовательную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освобождаются: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 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 родители (законные представители), призванные на военную службу по мобилизации в Вооруженные Силы Российской Федерации в соответствии с </w:t>
            </w:r>
            <w:hyperlink r:id="rId20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1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Вооруженные Силы Российской Федерации, а также второй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в 2024 году родители (законные представители), указанные в </w:t>
            </w:r>
            <w:hyperlink w:tooltip="#Par0" w:anchor="Par0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подпункте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родитель (законный представитель), близкий родственник ребенка в случае гибели (смерти) родителя (законного представителя), призванного на военную службу по мобилизации в Вооруженные Силы Российской Федерации в соответствии с </w:t>
            </w:r>
            <w:hyperlink r:id="rId22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3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образования и науки Удмуртской Республики от 16.02.2023 № 241 «Об утверждении Порядка обращения за 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2022 года № 647 «Об объявлении частичной мобилизации в Российской Федерации» или проходящих военную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приказа Министерства образования и науки Удмуртской Республики от 18.01.2024 № 053)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 оказания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специализированной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медико-санитарной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помощи ветеранам войн.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Определить бюджетное учреждение здравоохранения Удмуртской Республики «К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онсультативно-диагностический центр Министерства здравоохранения Удмуртской Республики» (БУЗ УР «КДЦ МЗ Удмуртской Республики) определено медицинской организацией, оказывающей первичную специализированную медико-санитарную помощь ветеранам войн. Утвержден </w:t>
            </w:r>
            <w:hyperlink r:id="rId24" w:tooltip="https://login.consultant.ru/link/?req=doc&amp;base=RLAW053&amp;n=147469&amp;dst=100016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Порядок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направления участников боевых действий, ветеранов войн и приравненных к ним лиц в БУЗ УР «КДЦ МЗ Удмуртской Республики» с целью оказания консультативной помощи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19.05.2023 № 0797 «О совершенствовании оказания медицинской помощи участникам боевых действий, ветеранам войн и приравненным к ним лицам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rPr>
          <w:rFonts w:ascii="PT Astra Serif" w:hAnsi="PT Astra Serif" w:cs="Times New Roman"/>
          <w:sz w:val="28"/>
          <w:szCs w:val="28"/>
        </w:rPr>
      </w:pPr>
      <w:r/>
      <w:bookmarkStart w:id="2" w:name="_GoBack"/>
      <w:r/>
      <w:bookmarkEnd w:id="2"/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049234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2"/>
    <w:next w:val="852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3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2"/>
    <w:next w:val="852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3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3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3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3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3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3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2"/>
    <w:next w:val="852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3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3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3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3"/>
    <w:link w:val="857"/>
    <w:uiPriority w:val="99"/>
  </w:style>
  <w:style w:type="character" w:styleId="707">
    <w:name w:val="Footer Char"/>
    <w:basedOn w:val="853"/>
    <w:link w:val="859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59"/>
    <w:uiPriority w:val="99"/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table" w:styleId="856">
    <w:name w:val="Table Grid"/>
    <w:basedOn w:val="85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57">
    <w:name w:val="Header"/>
    <w:basedOn w:val="852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3"/>
    <w:link w:val="857"/>
    <w:uiPriority w:val="99"/>
  </w:style>
  <w:style w:type="paragraph" w:styleId="859">
    <w:name w:val="Footer"/>
    <w:basedOn w:val="852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3"/>
    <w:link w:val="859"/>
    <w:uiPriority w:val="99"/>
  </w:style>
  <w:style w:type="paragraph" w:styleId="861">
    <w:name w:val="Balloon Text"/>
    <w:basedOn w:val="852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>
    <w:name w:val="Hyperlink"/>
    <w:basedOn w:val="853"/>
    <w:uiPriority w:val="99"/>
    <w:semiHidden/>
    <w:unhideWhenUsed/>
    <w:rPr>
      <w:color w:val="0000ff" w:themeColor="hyperlink"/>
      <w:u w:val="single"/>
    </w:rPr>
  </w:style>
  <w:style w:type="paragraph" w:styleId="865">
    <w:name w:val="List Paragraph"/>
    <w:basedOn w:val="85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EE389C0AF8615065B1E2472540ECC8A700EF6FA5D729F072EA2E16D4D64253412920D5D5DB45384714C6D4180u733I" TargetMode="External"/><Relationship Id="rId12" Type="http://schemas.openxmlformats.org/officeDocument/2006/relationships/hyperlink" Target="consultantplus://offline/ref=EDDF35E53AD3E6D94F461CE2F5582A0DD0639624D18203DF51DED4050904C0AE1E128A0465D50825B9EF200FD9E54EI" TargetMode="External"/><Relationship Id="rId13" Type="http://schemas.openxmlformats.org/officeDocument/2006/relationships/hyperlink" Target="consultantplus://offline/ref=DB357B178F0A84F0F26746C6CE32720557A4B1B4E3DFA5615A1813E55B07A5C4A043B2B95B6966416E79F7FB566F9583BE5CD59E78D8AD12iDyDH" TargetMode="External"/><Relationship Id="rId14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15" Type="http://schemas.openxmlformats.org/officeDocument/2006/relationships/hyperlink" Target="consultantplus://offline/ref=8B3A21E1BB280D18F725E8E0EE37E51DBFA5BCCA90543704EBF94C8F1B0DC7F3BAE670A0A9D5B5059F5033AEFA0CC0A29EE5ED4403C504F710AC9468RAC0F" TargetMode="External"/><Relationship Id="rId16" Type="http://schemas.openxmlformats.org/officeDocument/2006/relationships/hyperlink" Target="consultantplus://offline/ref=6342A5A6EDF32DD749AFBB8E214EA05814B10C6720EAAD6C162DDFBA2E7A59CED01669A1E71CD81E390F1FA7E51CD7A0CADB2AF50FB3E063N9SEF" TargetMode="External"/><Relationship Id="rId17" Type="http://schemas.openxmlformats.org/officeDocument/2006/relationships/hyperlink" Target="consultantplus://offline/ref=E39DD02B735479FC85928699C97CDBCC8BC55D46FC8C50C67DE1C8CAB5FF50D8BA6614A7382EDA59B6F2A20438560A42C6j9i8F" TargetMode="External"/><Relationship Id="rId18" Type="http://schemas.openxmlformats.org/officeDocument/2006/relationships/hyperlink" Target="consultantplus://offline/ref=99306EFB6D1C095A8B3032AF900EBCB930DADDCCE9575F37F5D684EE9B26658D7921B115224A0CF6B4833A6CF67EC03239N4mCF" TargetMode="External"/><Relationship Id="rId19" Type="http://schemas.openxmlformats.org/officeDocument/2006/relationships/hyperlink" Target="consultantplus://offline/ref=99306EFB6D1C095A8B3032AF900EBCB930DADDCCE9575334F9D784EE9B26658D7921B115224A0CF6B4833A6CF67EC03239N4mCF" TargetMode="External"/><Relationship Id="rId20" Type="http://schemas.openxmlformats.org/officeDocument/2006/relationships/hyperlink" Target="https://login.consultant.ru/link/?req=doc&amp;base=LAW&amp;n=426999" TargetMode="External"/><Relationship Id="rId21" Type="http://schemas.openxmlformats.org/officeDocument/2006/relationships/hyperlink" Target="https://login.consultant.ru/link/?req=doc&amp;base=LAW&amp;n=472846&amp;dst=1187" TargetMode="External"/><Relationship Id="rId22" Type="http://schemas.openxmlformats.org/officeDocument/2006/relationships/hyperlink" Target="https://login.consultant.ru/link/?req=doc&amp;base=LAW&amp;n=426999" TargetMode="External"/><Relationship Id="rId23" Type="http://schemas.openxmlformats.org/officeDocument/2006/relationships/hyperlink" Target="https://login.consultant.ru/link/?req=doc&amp;base=LAW&amp;n=472846&amp;dst=1187" TargetMode="External"/><Relationship Id="rId24" Type="http://schemas.openxmlformats.org/officeDocument/2006/relationships/hyperlink" Target="https://login.consultant.ru/link/?req=doc&amp;base=RLAW053&amp;n=14746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1247-D063-44F1-99EB-11E7A520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Кокшарова Александра</cp:lastModifiedBy>
  <cp:revision>5</cp:revision>
  <dcterms:created xsi:type="dcterms:W3CDTF">2024-07-31T11:40:00Z</dcterms:created>
  <dcterms:modified xsi:type="dcterms:W3CDTF">2024-08-22T13:21:22Z</dcterms:modified>
</cp:coreProperties>
</file>