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0" w:right="0" w:firstLine="10488"/>
        <w:jc w:val="both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  <w:t xml:space="preserve">УТВЕРЖДЕН</w:t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p>
      <w:pPr>
        <w:pStyle w:val="856"/>
        <w:ind w:left="0" w:right="0" w:firstLine="10488"/>
        <w:jc w:val="both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  <w:t xml:space="preserve">Приказом Министерства </w:t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p>
      <w:pPr>
        <w:pStyle w:val="856"/>
        <w:ind w:left="0" w:right="0" w:firstLine="10488"/>
        <w:jc w:val="both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  <w:t xml:space="preserve">национальной политики </w:t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p>
      <w:pPr>
        <w:pStyle w:val="856"/>
        <w:ind w:left="0" w:right="0" w:firstLine="10488"/>
        <w:jc w:val="both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  <w:t xml:space="preserve">Удмуртской Республики</w:t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p>
      <w:pPr>
        <w:pStyle w:val="856"/>
        <w:ind w:left="0" w:right="0" w:firstLine="10488"/>
        <w:jc w:val="both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  <w:t xml:space="preserve">от </w:t>
      </w:r>
      <w:r>
        <w:rPr>
          <w:color w:val="052635"/>
          <w:highlight w:val="white"/>
        </w:rPr>
        <w:t xml:space="preserve">27 </w:t>
      </w:r>
      <w:r>
        <w:rPr>
          <w:color w:val="052635"/>
          <w:highlight w:val="white"/>
        </w:rPr>
        <w:t xml:space="preserve">декабря</w:t>
      </w:r>
      <w:r>
        <w:rPr>
          <w:color w:val="052635"/>
          <w:highlight w:val="white"/>
        </w:rPr>
        <w:t xml:space="preserve"> 20</w:t>
      </w:r>
      <w:r>
        <w:rPr>
          <w:color w:val="052635"/>
          <w:highlight w:val="white"/>
        </w:rPr>
        <w:t xml:space="preserve">2</w:t>
      </w:r>
      <w:r>
        <w:rPr>
          <w:color w:val="052635"/>
          <w:highlight w:val="white"/>
        </w:rPr>
        <w:t xml:space="preserve">4</w:t>
      </w:r>
      <w:r>
        <w:rPr>
          <w:color w:val="052635"/>
          <w:highlight w:val="white"/>
        </w:rPr>
        <w:t xml:space="preserve"> года </w:t>
      </w:r>
      <w:r>
        <w:rPr>
          <w:color w:val="052635"/>
          <w:highlight w:val="white"/>
        </w:rPr>
        <w:t xml:space="preserve">№ 01</w:t>
      </w:r>
      <w:r>
        <w:rPr>
          <w:color w:val="052635"/>
          <w:highlight w:val="white"/>
        </w:rPr>
        <w:t xml:space="preserve">-02</w:t>
      </w:r>
      <w:r>
        <w:rPr>
          <w:color w:val="052635"/>
          <w:highlight w:val="white"/>
        </w:rPr>
        <w:t xml:space="preserve">/091</w:t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p>
      <w:pPr>
        <w:pStyle w:val="856"/>
        <w:ind w:left="4525" w:firstLine="8640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p>
      <w:pPr>
        <w:pStyle w:val="856"/>
        <w:ind w:left="4525" w:firstLine="720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p>
      <w:pPr>
        <w:pStyle w:val="856"/>
        <w:jc w:val="center"/>
        <w:spacing w:before="0" w:beforeAutospacing="0" w:after="0" w:afterAutospacing="0"/>
        <w:rPr>
          <w:b/>
          <w:color w:val="052635"/>
          <w:highlight w:val="white"/>
        </w:rPr>
      </w:pPr>
      <w:r>
        <w:rPr>
          <w:b/>
          <w:color w:val="052635"/>
          <w:highlight w:val="white"/>
        </w:rPr>
        <w:t xml:space="preserve">ПЛАН </w:t>
      </w:r>
      <w:r>
        <w:rPr>
          <w:b/>
          <w:color w:val="052635"/>
          <w:highlight w:val="white"/>
        </w:rPr>
        <w:t xml:space="preserve">МЕРОПРИЯТИЙ </w:t>
      </w:r>
      <w:r>
        <w:rPr>
          <w:b/>
          <w:color w:val="052635"/>
          <w:highlight w:val="white"/>
        </w:rPr>
        <w:t xml:space="preserve">МИНИСТЕРСТВА НАЦИОНАЛЬНОЙ ПОЛИТИКИ УДМУРТСКОЙ РЕСПУБЛИКИ </w:t>
      </w:r>
      <w:r>
        <w:rPr>
          <w:b/>
          <w:color w:val="052635"/>
          <w:highlight w:val="white"/>
        </w:rPr>
      </w:r>
      <w:r>
        <w:rPr>
          <w:b/>
          <w:color w:val="052635"/>
          <w:highlight w:val="white"/>
        </w:rPr>
      </w:r>
    </w:p>
    <w:p>
      <w:pPr>
        <w:pStyle w:val="856"/>
        <w:jc w:val="center"/>
        <w:spacing w:before="0" w:beforeAutospacing="0" w:after="0" w:afterAutospacing="0"/>
        <w:rPr>
          <w:b/>
          <w:color w:val="052635"/>
          <w:highlight w:val="white"/>
        </w:rPr>
      </w:pPr>
      <w:r>
        <w:rPr>
          <w:b/>
          <w:color w:val="052635"/>
          <w:highlight w:val="white"/>
        </w:rPr>
        <w:t xml:space="preserve">ПО ПРОТИВОДЕЙСТВИЮ КОРРУПЦИИ НА 2025-2026 </w:t>
      </w:r>
      <w:r>
        <w:rPr>
          <w:b/>
          <w:color w:val="052635"/>
          <w:highlight w:val="white"/>
        </w:rPr>
        <w:t xml:space="preserve">ГОД</w:t>
      </w:r>
      <w:r>
        <w:rPr>
          <w:b/>
          <w:color w:val="052635"/>
          <w:highlight w:val="white"/>
        </w:rPr>
        <w:t xml:space="preserve">Ы</w:t>
      </w:r>
      <w:r>
        <w:rPr>
          <w:b/>
          <w:color w:val="052635"/>
          <w:highlight w:val="white"/>
        </w:rPr>
      </w:r>
      <w:r>
        <w:rPr>
          <w:b/>
          <w:color w:val="052635"/>
          <w:highlight w:val="white"/>
        </w:rPr>
      </w:r>
    </w:p>
    <w:p>
      <w:pPr>
        <w:pStyle w:val="84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tbl>
      <w:tblPr>
        <w:tblW w:w="1566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0"/>
        <w:gridCol w:w="5760"/>
        <w:gridCol w:w="2160"/>
        <w:gridCol w:w="2160"/>
        <w:gridCol w:w="4860"/>
      </w:tblGrid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52635"/>
                <w:sz w:val="24"/>
                <w:szCs w:val="24"/>
                <w:highlight w:val="white"/>
              </w:rPr>
              <w:t xml:space="preserve">№ п/п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52635"/>
                <w:sz w:val="24"/>
                <w:szCs w:val="24"/>
                <w:highlight w:val="white"/>
              </w:rPr>
              <w:t xml:space="preserve">Мероприятия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52635"/>
                <w:sz w:val="24"/>
                <w:szCs w:val="24"/>
                <w:highlight w:val="white"/>
              </w:rPr>
              <w:t xml:space="preserve">Ответственный исполнитель, соисполнитель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52635"/>
                <w:sz w:val="24"/>
                <w:szCs w:val="24"/>
                <w:highlight w:val="white"/>
              </w:rPr>
              <w:t xml:space="preserve">Срок выполнения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Ожидаемый результат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56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b/>
                <w:sz w:val="24"/>
                <w:szCs w:val="24"/>
                <w:highlight w:val="white"/>
              </w:rPr>
              <w:t xml:space="preserve">. Организационное обеспечение деятельности в сфере противодействия коррупции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азра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ботка, внесение необходимых изменений в приказы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 Министерства национальной политики Удмуртской Республики (далее - Министерство)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мере необходимости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совершенствование нормативно-правового обеспечения антикоррупционной 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Разработка и утверждение уточненного плана Министерства национальной политики Удмуртской Республики 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 по противодействию коррупции 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мере необходимости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системной антикоррупционной работы Министерства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Оказание консультационной помощи в разработке планов по противодействию коррупции Бюджетному учреждению Удмуртской Республ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ики «Дом Дружбы народов» 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постоянно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системной антикоррупционной работы в подведомственном учреждении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90"/>
        </w:trPr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Представление в Администрацию Главы и Правительства Удмуртской Республики информации об исполнении плана мероприятий Министерства по противодействию 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коррупции 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(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далее - План)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Ежегодно до 1 февраля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Своевременное формирование и представление в Администрацию Главы Правительства Удмуртской Республики информации об исполнении Плана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Подготовка и представление в Администрацию Главы и Правительства Удмуртской Республики сведений о ходе реализации мер по противодействию коррупции в Министерстве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spacing w:line="216" w:lineRule="auto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ежеквартально до 15 числа месяца, следующего за отчетным и до 25 декабря ежегодно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Своевременное формирование и представление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 в Администрацию Главы и Правительства Удмуртской Республики сведений о ходе реализации мер по противодействию коррупции в Министерстве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Представление информации в Администрацию Главы и Правительства Удмуртской Республики о фактах привлечения к ответственности руководителей и сотрудников подведомственных учреждений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по мере необходимости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Осуществление антикоррупционного мониторинга в Министерстве и подведомственном учреждении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1.7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Организация и проведение антикоррупционной экспертизы нормативных правовых актов Удмуртской Республики и их проектов, разрабатываемых Министерством, нормативных правовых актов Министерства и их проектов 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Ответственные за проведение антикоррупцион-ной экспертизы НПА</w:t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по мере необходимости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cs="Calibri"/>
                <w:sz w:val="24"/>
                <w:szCs w:val="24"/>
                <w:highlight w:val="white"/>
              </w:rPr>
              <w:t xml:space="preserve">Сокращение количества коррупциогенных факторов, выявленных в нормативных правовых актах Удмуртской Республики, Министерства, их проектах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1.8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рганизация размещения на официальном сайте Министерства проектов нормативных правовых актов Министерства, проектов нормативных правовых актов Удмуртской Республики, разрабатываемых Министерством, в целях обеспечения независимой антикоррупционной экспертизы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Николаева Т.Л.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по мере необходимости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cs="Calibri"/>
                <w:sz w:val="24"/>
                <w:szCs w:val="24"/>
                <w:highlight w:val="white"/>
              </w:rPr>
              <w:t xml:space="preserve">Обеспечение открытости и доступности информации об антикоррупционной деятельности Министерства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1.9.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Организация совещаний с государственными гражданскими служащими Министерства по вопросам противодействия коррупции, в том числе соблюдения ограничений и запретов, исполнения обязанностей, получения подарков, получения и дачи взятки и др.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Филатов А.В.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по мере необходимости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Соблюдение гражданскими служащими ограничений и запретов, установленных законодательством о противодействии коррупции;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2"/>
              <w:jc w:val="left"/>
              <w:rPr>
                <w:rFonts w:cs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повышение уровня квалификации </w:t>
            </w:r>
            <w:r>
              <w:rPr>
                <w:rFonts w:cs="Calibri"/>
                <w:sz w:val="24"/>
                <w:szCs w:val="24"/>
                <w:highlight w:val="white"/>
              </w:rPr>
              <w:t xml:space="preserve">государственных гражданских служащих по вопросам противодействия коррупции</w:t>
            </w:r>
            <w:r>
              <w:rPr>
                <w:rFonts w:cs="Calibri"/>
                <w:sz w:val="24"/>
                <w:szCs w:val="24"/>
                <w:highlight w:val="white"/>
              </w:rPr>
            </w:r>
            <w:r>
              <w:rPr>
                <w:rFonts w:cs="Calibri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44"/>
        </w:trPr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1.10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Анализ жалоб и обращений граждан на предмет наличия в них информации о фактах коррупции со стороны государственных гражданских служащих Министерства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Шараева Я.М.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ежемесячно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Принятие мер по предупреждению и профилактике коррупционных правонарушений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1.11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Направление копий актов прокурорского реагирования о нарушениях антикоррупционного законодательства в Управление по вопросам противодействия коррупции Администрации Главы и Правительства Удмуртской Республики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Башарова Г.Р.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2025 - 2026 годы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W w:w="48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Анализ коррупционных правонарушений, факторов, способствующих их совершению, подготовка предложений по разработке мер по предупреждению и профилактике коррупционных нарушений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5660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val="en-US"/>
              </w:rPr>
              <w:t xml:space="preserve">II</w:t>
            </w:r>
            <w:r>
              <w:rPr>
                <w:b/>
                <w:sz w:val="24"/>
                <w:szCs w:val="24"/>
                <w:highlight w:val="white"/>
              </w:rPr>
              <w:t xml:space="preserve">. Внедрение антикоррупционных механизмов в рамках реализации кадровой политики в Удмуртской Республике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2.1.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Обеспечение контроля за соблюдением государственными гражданскими служащими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2025-2026 гг.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Выявление и устранение нарушений, связанных с соблюдением ограничений и запретов на гражданской службе, требований к служебному поведению и урегулированию конфликта интересов, а также требований, установленных 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законодательством о противодействии коррупции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2.2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Обеспечение эффективной работы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16"/>
                <w:szCs w:val="16"/>
                <w:highlight w:val="white"/>
              </w:rPr>
            </w:pPr>
            <w:r>
              <w:rPr>
                <w:color w:val="052635"/>
                <w:sz w:val="16"/>
                <w:szCs w:val="16"/>
                <w:highlight w:val="white"/>
              </w:rPr>
            </w:r>
            <w:r>
              <w:rPr>
                <w:color w:val="052635"/>
                <w:sz w:val="16"/>
                <w:szCs w:val="16"/>
                <w:highlight w:val="white"/>
              </w:rPr>
            </w:r>
            <w:r>
              <w:rPr>
                <w:color w:val="052635"/>
                <w:sz w:val="16"/>
                <w:szCs w:val="16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Соковикова Л.Ю.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2025-2026 гг.</w:t>
            </w:r>
            <w:r>
              <w:rPr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Повышение эффективности и результативности работы Комиссии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2.3.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Министерства ограничений и запретов по исполнению обязанностей, установленных законодательством о противодействии коррупции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16"/>
                <w:szCs w:val="16"/>
                <w:highlight w:val="white"/>
              </w:rPr>
            </w:pPr>
            <w:r>
              <w:rPr>
                <w:color w:val="052635"/>
                <w:sz w:val="16"/>
                <w:szCs w:val="16"/>
                <w:highlight w:val="white"/>
              </w:rPr>
            </w:r>
            <w:r>
              <w:rPr>
                <w:color w:val="052635"/>
                <w:sz w:val="16"/>
                <w:szCs w:val="16"/>
                <w:highlight w:val="white"/>
              </w:rPr>
            </w:r>
            <w:r>
              <w:rPr>
                <w:color w:val="052635"/>
                <w:sz w:val="16"/>
                <w:szCs w:val="16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по мере поступления информации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cs="Calibri"/>
                <w:sz w:val="24"/>
                <w:szCs w:val="24"/>
                <w:highlight w:val="white"/>
              </w:rPr>
              <w:t xml:space="preserve">Соблюдение государственными гражданскими служащими запретов и ограничений и исполнение обязанностей, установленных законодательством о противодействии коррупции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2.4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Органи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зация приёма сведений о доходах, расходах, об имуществе и обязательствах имущественного характера, представляемых гражданскими служащими и руководителем подведомственного учреждения. Обеспечение контроля за своевременностью представления указанных сведений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16"/>
                <w:szCs w:val="16"/>
                <w:highlight w:val="white"/>
              </w:rPr>
            </w:pPr>
            <w:r>
              <w:rPr>
                <w:color w:val="052635"/>
                <w:sz w:val="16"/>
                <w:szCs w:val="16"/>
                <w:highlight w:val="white"/>
              </w:rPr>
            </w:r>
            <w:r>
              <w:rPr>
                <w:color w:val="052635"/>
                <w:sz w:val="16"/>
                <w:szCs w:val="16"/>
                <w:highlight w:val="white"/>
              </w:rPr>
            </w:r>
            <w:r>
              <w:rPr>
                <w:color w:val="052635"/>
                <w:sz w:val="16"/>
                <w:szCs w:val="16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Орлова Н.В.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до 30 апреля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2025-2026 гг.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rFonts w:cs="Calibri"/>
                <w:sz w:val="24"/>
                <w:szCs w:val="24"/>
                <w:highlight w:val="white"/>
              </w:rPr>
            </w:pPr>
            <w:r>
              <w:rPr>
                <w:rFonts w:cs="Calibri"/>
                <w:sz w:val="24"/>
                <w:szCs w:val="24"/>
                <w:highlight w:val="white"/>
              </w:rPr>
              <w:t xml:space="preserve">Обеспечение своевременного исполнения гражданскими служащими и руководителем подведомственного учреждения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>
              <w:rPr>
                <w:rFonts w:cs="Calibri"/>
                <w:sz w:val="24"/>
                <w:szCs w:val="24"/>
                <w:highlight w:val="white"/>
              </w:rPr>
            </w:r>
            <w:r>
              <w:rPr>
                <w:rFonts w:cs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2.5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Проведе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ние анализа сведений о доходах, расходах, об имуществе и обязательствах имущественного характера лиц, замещающих  должности государственных гражданских служащих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ежегодно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W w:w="486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выявление фактов коррупционных нарушений, анализ обстоятельств, способствующих их совершению, принятие мер по предупреждению и профилактике коррупционных нарушений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2.6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Обеспечение контроля за актуализацией сведений, содержащихся в анкетах государственных гражданских служащих, в целях своевременного выявления возможного конфликта интересов 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Орлова Н.В.</w:t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2025-2026 гг.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rFonts w:cs="Calibri"/>
                <w:sz w:val="24"/>
                <w:szCs w:val="24"/>
                <w:highlight w:val="white"/>
              </w:rPr>
            </w:pPr>
            <w:r>
              <w:rPr>
                <w:rFonts w:cs="Calibri"/>
                <w:sz w:val="24"/>
                <w:szCs w:val="24"/>
                <w:highlight w:val="white"/>
              </w:rPr>
              <w:t xml:space="preserve">Обеспечение своевременного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 выявления возможного конфликта интересов</w:t>
            </w:r>
            <w:r>
              <w:rPr>
                <w:rFonts w:cs="Calibri"/>
                <w:sz w:val="24"/>
                <w:szCs w:val="24"/>
                <w:highlight w:val="white"/>
              </w:rPr>
            </w:r>
            <w:r>
              <w:rPr>
                <w:rFonts w:cs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spacing w:before="0" w:beforeAutospacing="0" w:after="0" w:afterAutospacing="0"/>
              <w:rPr>
                <w:highlight w:val="white"/>
              </w:rPr>
            </w:pPr>
            <w:r>
              <w:rPr>
                <w:highlight w:val="white"/>
              </w:rPr>
              <w:t xml:space="preserve">2.7</w:t>
            </w:r>
            <w:r>
              <w:rPr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spacing w:before="0" w:beforeAutospacing="0" w:after="0" w:afterAutospacing="0"/>
              <w:rPr>
                <w:highlight w:val="white"/>
              </w:rPr>
            </w:pPr>
            <w:r>
              <w:rPr>
                <w:highlight w:val="white"/>
              </w:rPr>
              <w:t xml:space="preserve">Проведение анализа соблюдения запретов, ограничений и требований, установленных в целя</w:t>
            </w:r>
            <w:r>
              <w:rPr>
                <w:highlight w:val="white"/>
              </w:rPr>
              <w:t xml:space="preserve">х противодействия коррупции, том числе касающихся получения подарков государственными гражданскими служащими министерства,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spacing w:before="0" w:beforeAutospacing="0" w:after="0" w:afterAutospacing="0"/>
              <w:rPr>
                <w:highlight w:val="white"/>
              </w:rPr>
            </w:pPr>
            <w:r>
              <w:rPr>
                <w:color w:val="052635"/>
                <w:highlight w:val="white"/>
              </w:rPr>
              <w:t xml:space="preserve">2025-2026 гг.</w:t>
            </w:r>
            <w:r>
              <w:rPr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56"/>
              <w:jc w:val="left"/>
              <w:spacing w:before="0" w:beforeAutospacing="0" w:after="0" w:afterAutospacing="0"/>
              <w:rPr>
                <w:highlight w:val="white"/>
              </w:rPr>
            </w:pPr>
            <w:r>
              <w:rPr>
                <w:highlight w:val="white"/>
              </w:rPr>
              <w:t xml:space="preserve">Соблюдение государственными гражданскими служащими запретов и ограничений. Обеспечение выполнения требований законодательства о предотвращении и урегулировании конфликта интересов на государственной гражданской службе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56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cs="Calibri"/>
                <w:b/>
                <w:sz w:val="24"/>
                <w:szCs w:val="24"/>
                <w:highlight w:val="white"/>
              </w:rPr>
            </w:pPr>
            <w:r>
              <w:rPr>
                <w:rFonts w:cs="Calibri"/>
                <w:b/>
                <w:sz w:val="24"/>
                <w:szCs w:val="24"/>
                <w:highlight w:val="white"/>
                <w:lang w:val="en-US"/>
              </w:rPr>
              <w:t xml:space="preserve">III</w:t>
            </w:r>
            <w:r>
              <w:rPr>
                <w:rFonts w:cs="Calibri"/>
                <w:b/>
                <w:sz w:val="24"/>
                <w:szCs w:val="24"/>
                <w:highlight w:val="white"/>
              </w:rPr>
              <w:t xml:space="preserve">. Антикоррупционное просвещение и пропаганда, повышение информационной открытости</w:t>
            </w:r>
            <w:r>
              <w:rPr>
                <w:rFonts w:cs="Calibri"/>
                <w:b/>
                <w:sz w:val="24"/>
                <w:szCs w:val="24"/>
                <w:highlight w:val="white"/>
              </w:rPr>
            </w:r>
            <w:r>
              <w:rPr>
                <w:rFonts w:cs="Calibri"/>
                <w:b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rFonts w:cs="Calibri"/>
                <w:b/>
                <w:sz w:val="24"/>
                <w:szCs w:val="24"/>
                <w:highlight w:val="white"/>
              </w:rPr>
            </w:pPr>
            <w:r>
              <w:rPr>
                <w:rFonts w:cs="Calibri"/>
                <w:b/>
                <w:sz w:val="24"/>
                <w:szCs w:val="24"/>
                <w:highlight w:val="white"/>
              </w:rPr>
              <w:t xml:space="preserve">государственных органов Удмуртской Республики</w:t>
            </w:r>
            <w:r>
              <w:rPr>
                <w:rFonts w:cs="Calibri"/>
                <w:b/>
                <w:sz w:val="24"/>
                <w:szCs w:val="24"/>
                <w:highlight w:val="white"/>
              </w:rPr>
            </w:r>
            <w:r>
              <w:rPr>
                <w:rFonts w:cs="Calibri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3.1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Освещение в средствах массовой инфо</w:t>
            </w:r>
            <w:r>
              <w:rPr>
                <w:color w:val="052635"/>
                <w:sz w:val="24"/>
                <w:szCs w:val="24"/>
                <w:highlight w:val="white"/>
              </w:rPr>
              <w:t xml:space="preserve">рмации и размещение на официальном сайте Министерства в сети «Интернет» результатов деятельности Министерства по вопросам противодействия коррупции, в том числе фактов привлечения должностных лиц к ответственности за совершение коррупционных правонарушений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Николаева Т.Л.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2025-2026 гг.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cs="Calibri"/>
                <w:sz w:val="24"/>
                <w:szCs w:val="24"/>
                <w:highlight w:val="white"/>
              </w:rPr>
              <w:t xml:space="preserve">Повышение уровня информированности населения о мерах, реализуемых Министерством по противодействию коррупции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3.2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spacing w:before="0" w:beforeAutospacing="0" w:after="0" w:afterAutospacing="0"/>
              <w:rPr>
                <w:highlight w:val="white"/>
              </w:rPr>
            </w:pPr>
            <w:r>
              <w:rPr>
                <w:highlight w:val="white"/>
              </w:rPr>
              <w:t xml:space="preserve">Обеспечение ежегодного повышения квалификации государственных гражданских служащих, в должностные обязанности которых входит участие в противодействии коррупции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cs="Calibri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Башарова Г.Р.</w:t>
            </w:r>
            <w:r>
              <w:rPr>
                <w:rFonts w:cs="Calibri"/>
                <w:sz w:val="24"/>
                <w:szCs w:val="24"/>
                <w:highlight w:val="white"/>
              </w:rPr>
            </w:r>
            <w:r>
              <w:rPr>
                <w:rFonts w:cs="Calibri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2025-2026 гг.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6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Повышение квалификации должностных лиц, участвующих в противодействии коррупции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5660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  <w:lang w:val="en-US"/>
              </w:rPr>
            </w:r>
            <w:r>
              <w:rPr>
                <w:b/>
                <w:color w:val="052635"/>
                <w:sz w:val="24"/>
                <w:szCs w:val="24"/>
                <w:highlight w:val="white"/>
                <w:lang w:val="en-US"/>
              </w:rPr>
              <w:t xml:space="preserve">IV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. Совершенствование организации деятельности Министерства в сфере закупок товаров, работ, услуг для обеспечения 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842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государственных нужд, управления и распоряжения государственным имуществом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cs="Calibri"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rFonts w:cs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4.1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работы по осуществлению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служб»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Замараева Е.Г.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color w:val="052635"/>
                <w:sz w:val="24"/>
                <w:szCs w:val="24"/>
                <w:highlight w:val="white"/>
              </w:rPr>
            </w:pPr>
            <w:r>
              <w:rPr>
                <w:color w:val="052635"/>
                <w:sz w:val="24"/>
                <w:szCs w:val="24"/>
                <w:highlight w:val="white"/>
              </w:rPr>
              <w:t xml:space="preserve">2025-2026 гг.</w:t>
            </w:r>
            <w:r>
              <w:rPr>
                <w:color w:val="052635"/>
                <w:sz w:val="24"/>
                <w:szCs w:val="24"/>
                <w:highlight w:val="white"/>
              </w:rPr>
            </w:r>
            <w:r>
              <w:rPr>
                <w:color w:val="052635"/>
                <w:sz w:val="24"/>
                <w:szCs w:val="24"/>
                <w:highlight w:val="white"/>
              </w:rPr>
            </w:r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842"/>
              <w:jc w:val="left"/>
              <w:rPr>
                <w:rFonts w:cs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работы с соблюдением требований Федерального закона от 05.04.2013 № 44-ФЗ «О контрактной системе в сфере закупок товаров работ, услуг для обеспечения государственных и муниципальных нужд»</w:t>
            </w:r>
            <w:r>
              <w:rPr>
                <w:rFonts w:cs="Calibri"/>
                <w:sz w:val="24"/>
                <w:szCs w:val="24"/>
                <w:highlight w:val="white"/>
              </w:rPr>
            </w:r>
            <w:r>
              <w:rPr>
                <w:rFonts w:cs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84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56"/>
        <w:ind w:left="4525" w:firstLine="720"/>
        <w:spacing w:before="0" w:beforeAutospacing="0" w:after="0" w:afterAutospacing="0"/>
        <w:rPr>
          <w:color w:val="052635"/>
          <w:highlight w:val="white"/>
        </w:rPr>
      </w:pPr>
      <w:r>
        <w:rPr>
          <w:color w:val="052635"/>
          <w:highlight w:val="white"/>
        </w:rPr>
      </w:r>
      <w:r>
        <w:rPr>
          <w:color w:val="052635"/>
          <w:highlight w:val="white"/>
        </w:rPr>
      </w:r>
      <w:r>
        <w:rPr>
          <w:color w:val="052635"/>
          <w:highlight w:val="white"/>
        </w:rPr>
      </w:r>
    </w:p>
    <w:sectPr>
      <w:headerReference w:type="default" r:id="rId8"/>
      <w:footnotePr/>
      <w:endnotePr/>
      <w:type w:val="nextPage"/>
      <w:pgSz w:w="16838" w:h="11906" w:orient="landscape"/>
      <w:pgMar w:top="851" w:right="1134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lang w:val="ru-RU" w:eastAsia="ru-RU" w:bidi="ar-SA"/>
    </w:rPr>
  </w:style>
  <w:style w:type="paragraph" w:styleId="843">
    <w:name w:val="Заголовок 1"/>
    <w:basedOn w:val="842"/>
    <w:next w:val="842"/>
    <w:link w:val="842"/>
    <w:qFormat/>
    <w:pPr>
      <w:ind w:right="42" w:firstLine="709"/>
      <w:jc w:val="both"/>
      <w:keepNext/>
      <w:spacing w:line="360" w:lineRule="auto"/>
      <w:outlineLvl w:val="0"/>
    </w:pPr>
    <w:rPr>
      <w:sz w:val="28"/>
    </w:rPr>
  </w:style>
  <w:style w:type="paragraph" w:styleId="844">
    <w:name w:val="Заголовок 2"/>
    <w:basedOn w:val="842"/>
    <w:next w:val="842"/>
    <w:link w:val="84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45">
    <w:name w:val="Основной шрифт абзаца"/>
    <w:next w:val="845"/>
    <w:link w:val="842"/>
    <w:semiHidden/>
  </w:style>
  <w:style w:type="table" w:styleId="846">
    <w:name w:val="Обычная таблица"/>
    <w:next w:val="846"/>
    <w:link w:val="842"/>
    <w:semiHidden/>
    <w:tblPr/>
  </w:style>
  <w:style w:type="numbering" w:styleId="847">
    <w:name w:val="Нет списка"/>
    <w:next w:val="847"/>
    <w:link w:val="842"/>
    <w:semiHidden/>
  </w:style>
  <w:style w:type="paragraph" w:styleId="848">
    <w:name w:val="Body Text 2"/>
    <w:basedOn w:val="842"/>
    <w:next w:val="848"/>
    <w:link w:val="842"/>
    <w:pPr>
      <w:ind w:right="42" w:firstLine="709"/>
      <w:jc w:val="both"/>
      <w:spacing w:line="360" w:lineRule="auto"/>
    </w:pPr>
    <w:rPr>
      <w:sz w:val="28"/>
    </w:rPr>
  </w:style>
  <w:style w:type="paragraph" w:styleId="849">
    <w:name w:val="Balloon Text"/>
    <w:basedOn w:val="842"/>
    <w:next w:val="849"/>
    <w:link w:val="842"/>
    <w:rPr>
      <w:rFonts w:ascii="Tahoma" w:hAnsi="Tahoma"/>
      <w:sz w:val="16"/>
    </w:rPr>
  </w:style>
  <w:style w:type="paragraph" w:styleId="850">
    <w:name w:val="Текст выноски"/>
    <w:basedOn w:val="842"/>
    <w:next w:val="850"/>
    <w:link w:val="842"/>
    <w:semiHidden/>
    <w:rPr>
      <w:rFonts w:ascii="Tahoma" w:hAnsi="Tahoma" w:cs="Tahoma"/>
      <w:sz w:val="16"/>
      <w:szCs w:val="16"/>
    </w:rPr>
  </w:style>
  <w:style w:type="table" w:styleId="851">
    <w:name w:val="Сетка таблицы"/>
    <w:basedOn w:val="846"/>
    <w:next w:val="851"/>
    <w:link w:val="842"/>
    <w:tblPr/>
  </w:style>
  <w:style w:type="paragraph" w:styleId="852">
    <w:name w:val="ConsPlusNormal"/>
    <w:next w:val="852"/>
    <w:link w:val="842"/>
    <w:pPr>
      <w:ind w:firstLine="720"/>
      <w:widowControl w:val="off"/>
    </w:pPr>
    <w:rPr>
      <w:sz w:val="24"/>
      <w:szCs w:val="24"/>
      <w:lang w:val="ru-RU" w:eastAsia="ru-RU" w:bidi="ar-SA"/>
    </w:rPr>
  </w:style>
  <w:style w:type="paragraph" w:styleId="853">
    <w:name w:val="ConsPlusNonformat"/>
    <w:next w:val="853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4">
    <w:name w:val="ConsPlusTitle"/>
    <w:next w:val="854"/>
    <w:link w:val="84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5">
    <w:name w:val="Основной текст"/>
    <w:basedOn w:val="842"/>
    <w:next w:val="855"/>
    <w:link w:val="842"/>
    <w:pPr>
      <w:jc w:val="both"/>
      <w:tabs>
        <w:tab w:val="left" w:pos="7020" w:leader="none"/>
      </w:tabs>
    </w:pPr>
    <w:rPr>
      <w:sz w:val="26"/>
    </w:rPr>
  </w:style>
  <w:style w:type="paragraph" w:styleId="856">
    <w:name w:val="Обычный (веб)"/>
    <w:basedOn w:val="842"/>
    <w:next w:val="856"/>
    <w:link w:val="842"/>
    <w:pPr>
      <w:spacing w:before="100" w:beforeAutospacing="1" w:after="100" w:afterAutospacing="1"/>
    </w:pPr>
    <w:rPr>
      <w:sz w:val="24"/>
      <w:szCs w:val="24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Elcom Ltd</Company>
  <DocSecurity>0</DocSecurity>
  <HyperlinksChanged>false</HyperlinksChanged>
  <ScaleCrop>false</ScaleCrop>
  <SharedDoc>false</SharedDoc>
  <Template>PRIK000.dot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НАЦИОНАЛЬНОЙ  ПОЛИТИКИ УДМУРТСКОЙ  РЕСПУБЛИКИ</dc:title>
  <dc:creator>Приемная</dc:creator>
  <cp:lastModifiedBy>basharova_gr</cp:lastModifiedBy>
  <cp:revision>8</cp:revision>
  <dcterms:created xsi:type="dcterms:W3CDTF">2023-03-01T12:06:00Z</dcterms:created>
  <dcterms:modified xsi:type="dcterms:W3CDTF">2025-01-20T06:55:02Z</dcterms:modified>
  <cp:version>983040</cp:version>
</cp:coreProperties>
</file>