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240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jc w:val="center"/>
        <w:spacing w:line="240" w:lineRule="auto"/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Информация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</w:p>
    <w:p>
      <w:pPr>
        <w:jc w:val="center"/>
        <w:spacing w:line="240" w:lineRule="auto"/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о работе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по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равовому  просвещению и правовому информированию граждан   в Министерстве национальной политики Удмуртской Республики и подведомственном учреждении БУ УР «Дом Дружбы народов»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 в 2024 году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</w:p>
    <w:p>
      <w:pPr>
        <w:jc w:val="center"/>
        <w:spacing w:line="240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pStyle w:val="846"/>
        <w:ind w:firstLine="708"/>
        <w:jc w:val="both"/>
        <w:spacing w:line="240" w:lineRule="auto"/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Реализация конституционного права граж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дан на защиту прав и законных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интересов в виде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правового просвещения и правового информирования Министерством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национальной политики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Удмуртской Республики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 и подведомственным учреждением Удмуртской Республики «Дом Дружбы народов», как субъектами правового просвещения  (далее – министерство, Миннац УР), в пределах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своей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компетенции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осуществляется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в рамках Закона Удмуртской Республики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от 17.04.2023 № 36-РЗ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«О правовом просвещении и правовом информировании граждан в Удмуртской Республике» (далее – Закон № 36-РЗ).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</w:p>
    <w:p>
      <w:pPr>
        <w:pStyle w:val="846"/>
        <w:ind w:firstLine="708"/>
        <w:jc w:val="both"/>
        <w:spacing w:line="240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Приказом министра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национальной политики Удмуртской Республики  от  18 мая 2015 года № 01/2-02/38 назначено ответственное должностное лицо министерства по вопросам оказания бесплатной юридической помощи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и правовому просвещению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и правовому информированию граждан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.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pStyle w:val="846"/>
        <w:ind w:firstLine="708"/>
        <w:jc w:val="both"/>
        <w:spacing w:line="240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иннацем Удмуртии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 изучен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опыт работы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иных  органов исполнительной власти Удмуртской Республики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по данному направлению,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налажено рабочее взаимодействие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с Управлением Минюста России по Удмуртской Республике и Главным управлением юстиции Удмуртской Республики.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pStyle w:val="846"/>
        <w:ind w:firstLine="708"/>
        <w:jc w:val="both"/>
        <w:spacing w:line="240" w:lineRule="auto"/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В рамках исполнения положений Закона № 36-РЗ в 2024 году проведено более</w:t>
      </w:r>
      <w:r>
        <w:rPr>
          <w:rFonts w:ascii="Times New Roman" w:hAnsi="Times New Roman" w:eastAsia="Times New Roman" w:cs="Times New Roman"/>
          <w:b w:val="0"/>
          <w:bCs w:val="0"/>
          <w:color w:val="ffffff" w:themeColor="background1"/>
          <w:sz w:val="26"/>
          <w:szCs w:val="26"/>
          <w:highlight w:val="none"/>
        </w:rPr>
        <w:t xml:space="preserve">..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30 мероп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риятий, способствующих правовому просвещению граждан, по следующим тематическим направлениям Стратегии государственной национальной политики Российской Федерации, утвержденной Указом Президента Российской Федерации от 19.12.2012 № 1666 (далее – Стратегия):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социальная и культурная адаптация  иностранных граждан;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реализация законодательства о некоммерческих организациях в части, касающейся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 поддержки СОНКО;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реализация конституционных прав граждан на сохранение и развитие этнокультурного и языкового многообразия народов России;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реализация законодательства о религиозных организациях.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По данным тема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тикам проведены следующие конференции, совещания, круглые столы, лекции, выставки, реализованы проекты, способствующие правовому просвещению населения, включая национально- культурные объединения и религиозные организации, детские и молодежные объединения: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</w:p>
    <w:p>
      <w:pPr>
        <w:pStyle w:val="846"/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1)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Дни Министерства национальной политики (далее – Дни Миннаца) в муниципальных образованиях «Город Воткинск», «Игринский район», «Малопургинский район», в ходе которых до населения доведена правовая информация по актуальным вопросам Стра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тегии, проведены личные приемы граждан по вопросам правового обеспечения условий для сохранения, изучения и развития государственных языков Удмуртской Республики, иных языков народов Удмуртии, а также реализации Стратегии государственной политики развития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разв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ития российского казачества, оснований для строительства, реконструкции религиозных объектов в соответствии с Федеральным законом от  26.09.1997 № 125-ФЗ «О свободе совести и религиозных объединениях» и иным вопросам государственной национальной политики.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В рамках Дней Миннаца для учителей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, родительской общественности проведены образовательные семинары по соблюдению законодательства о профилактике экстремизма и терроризма на национальной и религиозной почве в образовательных организациях, с охватом населения не менее 250 человек однократно.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В проведении Дней Миннаца принимают участие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 представители органов исполнительной власти Удмуртской Республики, научные эксперты, психологи, </w:t>
      </w:r>
      <w:r>
        <w:rPr>
          <w:sz w:val="26"/>
          <w:szCs w:val="26"/>
        </w:rPr>
        <w:t xml:space="preserve">сотрудники </w:t>
      </w:r>
      <w:r>
        <w:rPr>
          <w:sz w:val="26"/>
          <w:szCs w:val="26"/>
        </w:rPr>
        <w:t xml:space="preserve">отдела </w:t>
      </w:r>
      <w:r>
        <w:rPr>
          <w:sz w:val="26"/>
          <w:szCs w:val="26"/>
        </w:rPr>
        <w:t xml:space="preserve">по обеспечению деятельности Антитеррористической комиссии Администрации Главы и Правительства УР.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</w:p>
    <w:p>
      <w:pPr>
        <w:ind w:firstLine="708"/>
        <w:jc w:val="both"/>
        <w:spacing w:after="0" w:line="240" w:lineRule="auto"/>
        <w:rPr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В рамках Дней Миннаца до членов СОНКО специалистами Управления Министерства юстиции Российской Ф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едерации по Удмуртской Республике (Коробейникова О.А., Сунцова А.Н.) доводится информация об изменениях законодательства о некоммерческих организациях, порядке предоставления отчетности в контролирующие органы</w:t>
      </w:r>
      <w:r>
        <w:rPr>
          <w:sz w:val="26"/>
          <w:szCs w:val="26"/>
        </w:rPr>
        <w:t xml:space="preserve"> и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порядке создания и государственной регистрации общественных объединений и их отделений;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8"/>
        <w:jc w:val="both"/>
        <w:spacing w:after="0" w:line="240" w:lineRule="auto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2) Дни Миннац в ВУЗах, расположенных на территории Удмуртской Республики. В формате «Разговоры о важном», в рамках которых до студенческой молодежи, включая иностранных студентов, в целях их правового развития доводится информация по пра</w:t>
      </w:r>
      <w:r>
        <w:rPr>
          <w:sz w:val="26"/>
          <w:szCs w:val="26"/>
          <w:highlight w:val="none"/>
        </w:rPr>
        <w:t xml:space="preserve">вовым вопросам в сфере межнациональных отношений. В формате диалога «Вопрос – ответ» студентам предоставляются исчерпывающие ответы на актуальные вопросы по реализации законодательства в области миграционной политики, профилактики экстремизма и терроризма.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pPr>
      <w:r>
        <w:rPr>
          <w:sz w:val="26"/>
          <w:szCs w:val="26"/>
          <w:highlight w:val="none"/>
        </w:rPr>
        <w:t xml:space="preserve">3)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Заседания По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стоянно действующего совеща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ния при министре национальной политики (далее – ПДС), в состав которого входят руководители более 40 респуб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ликанских национально-культурных объединений, представляющих 24 народа. В 2024 году означенные мероприятия прошли прошли 5 раз, в том числе с выездом в Епархию Ижевскую и Удмуртскую, в Дом Дружбы народов Игринского района и Администрацию города Воткинска.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В рамках заседаний ПДС до представителей институтов гражданского общества была доведена правовая информация: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об основных положениях Концепции государственной языковой политики Российской Федерации, утвержденной Распоряжением Правительства РФ от 12.06.2024 № 1481-р;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о порядке предоставления отчетности в соответствии с приказом Росстата </w:t>
      </w:r>
      <w:r>
        <w:rPr>
          <w:rFonts w:ascii="PT Serif" w:hAnsi="PT Serif" w:eastAsia="PT Serif" w:cs="PT Serif"/>
          <w:color w:val="000000"/>
        </w:rPr>
        <w:t xml:space="preserve">от 19 декабря 2019 г. № 781 «</w:t>
      </w:r>
      <w:r>
        <w:rPr>
          <w:rFonts w:ascii="PT Serif" w:hAnsi="PT Serif" w:eastAsia="PT Serif" w:cs="PT Serif"/>
          <w:color w:val="000000"/>
        </w:rPr>
        <w:t xml:space="preserve">Об утверждении официальной статистической методологии организации статистического наблюдения за деятельностью социально ориентированных некоммерческих организаций»;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after="0" w:line="240" w:lineRule="auto"/>
        <w:rPr>
          <w:rFonts w:ascii="PT Serif" w:hAnsi="PT Serif" w:eastAsia="PT Serif" w:cs="PT Serif"/>
          <w:color w:val="000000"/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об актуальных положениях законодательства об общественных объединениях;</w:t>
      </w:r>
      <w:r>
        <w:rPr>
          <w:rFonts w:ascii="PT Serif" w:hAnsi="PT Serif" w:eastAsia="PT Serif" w:cs="PT Serif"/>
          <w:color w:val="000000"/>
          <w:sz w:val="26"/>
          <w:szCs w:val="26"/>
          <w:highlight w:val="none"/>
        </w:rPr>
      </w:r>
      <w:r>
        <w:rPr>
          <w:rFonts w:ascii="PT Serif" w:hAnsi="PT Serif" w:eastAsia="PT Serif" w:cs="PT Serif"/>
          <w:color w:val="000000"/>
          <w:sz w:val="26"/>
          <w:szCs w:val="26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PT Serif" w:hAnsi="PT Serif" w:eastAsia="PT Serif" w:cs="PT Serif"/>
          <w:color w:val="000000"/>
          <w:highlight w:val="none"/>
        </w:rPr>
      </w:pPr>
      <w:r>
        <w:rPr>
          <w:rFonts w:ascii="PT Serif" w:hAnsi="PT Serif" w:eastAsia="PT Serif" w:cs="PT Serif"/>
          <w:color w:val="000000"/>
          <w:highlight w:val="none"/>
        </w:rPr>
        <w:t xml:space="preserve">о взаимодействии с Управлением ФСИН по Удмуртской Республике в вопросах реализации законодательства по профилактике экстремизма и терроризма.</w:t>
      </w:r>
      <w:r>
        <w:rPr>
          <w:rFonts w:ascii="PT Serif" w:hAnsi="PT Serif" w:eastAsia="PT Serif" w:cs="PT Serif"/>
          <w:color w:val="000000"/>
          <w:highlight w:val="none"/>
        </w:rPr>
      </w:r>
      <w:r>
        <w:rPr>
          <w:rFonts w:ascii="PT Serif" w:hAnsi="PT Serif" w:eastAsia="PT Serif" w:cs="PT Serif"/>
          <w:color w:val="000000"/>
          <w:highlight w:val="none"/>
        </w:rPr>
      </w:r>
    </w:p>
    <w:p>
      <w:pPr>
        <w:ind w:firstLine="708"/>
        <w:jc w:val="both"/>
        <w:spacing w:after="0" w:line="240" w:lineRule="auto"/>
        <w:rPr>
          <w:bCs w:val="0"/>
          <w:i w:val="0"/>
          <w:sz w:val="26"/>
          <w:szCs w:val="26"/>
        </w:rPr>
      </w:pPr>
      <w:r>
        <w:rPr>
          <w:rFonts w:ascii="PT Serif" w:hAnsi="PT Serif" w:eastAsia="PT Serif" w:cs="PT Serif"/>
          <w:color w:val="000000"/>
          <w:highlight w:val="none"/>
        </w:rPr>
        <w:t xml:space="preserve">Также на заседании ПДС до сведения руководителей и актива НКО в 2024 году доведены основные положения </w:t>
      </w:r>
      <w:r>
        <w:rPr>
          <w:rFonts w:ascii="Times New Roman" w:hAnsi="Times New Roman"/>
          <w:i w:val="0"/>
          <w:iCs w:val="0"/>
          <w:color w:val="000000"/>
          <w:sz w:val="26"/>
          <w:szCs w:val="26"/>
          <w:shd w:val="clear" w:color="auto" w:fill="ffffff"/>
        </w:rPr>
        <w:t xml:space="preserve">Послания Президента Российской Федерации Федеральному Собранию и представлена лекция</w:t>
      </w:r>
      <w:r>
        <w:rPr>
          <w:i w:val="0"/>
          <w:iCs w:val="0"/>
          <w:sz w:val="26"/>
          <w:szCs w:val="26"/>
        </w:rPr>
        <w:t xml:space="preserve"> </w:t>
      </w:r>
      <w:r>
        <w:rPr>
          <w:i w:val="0"/>
          <w:iCs w:val="0"/>
          <w:sz w:val="26"/>
          <w:szCs w:val="26"/>
        </w:rPr>
        <w:t xml:space="preserve">представителя Российского общества «Знание» </w:t>
      </w:r>
      <w:r>
        <w:rPr>
          <w:i w:val="0"/>
          <w:iCs w:val="0"/>
          <w:sz w:val="26"/>
          <w:szCs w:val="26"/>
        </w:rPr>
        <w:t xml:space="preserve">Пастухов</w:t>
      </w:r>
      <w:r>
        <w:rPr>
          <w:i w:val="0"/>
          <w:iCs w:val="0"/>
          <w:sz w:val="26"/>
          <w:szCs w:val="26"/>
        </w:rPr>
        <w:t xml:space="preserve">а</w:t>
      </w:r>
      <w:r>
        <w:rPr>
          <w:i w:val="0"/>
          <w:iCs w:val="0"/>
          <w:sz w:val="26"/>
          <w:szCs w:val="26"/>
        </w:rPr>
        <w:t xml:space="preserve"> И.В.</w:t>
      </w:r>
      <w:r>
        <w:rPr>
          <w:i w:val="0"/>
          <w:iCs w:val="0"/>
          <w:sz w:val="26"/>
          <w:szCs w:val="26"/>
        </w:rPr>
        <w:t xml:space="preserve">;</w:t>
      </w:r>
      <w:r>
        <w:rPr>
          <w:bCs w:val="0"/>
          <w:i w:val="0"/>
          <w:sz w:val="26"/>
          <w:szCs w:val="26"/>
        </w:rPr>
      </w:r>
      <w:r>
        <w:rPr>
          <w:bCs w:val="0"/>
          <w:i w:val="0"/>
          <w:sz w:val="26"/>
          <w:szCs w:val="26"/>
        </w:rPr>
      </w:r>
    </w:p>
    <w:p>
      <w:pPr>
        <w:pStyle w:val="846"/>
        <w:ind w:firstLine="708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</w:pPr>
      <w:r>
        <w:rPr>
          <w:i w:val="0"/>
          <w:iCs w:val="0"/>
          <w:sz w:val="26"/>
          <w:szCs w:val="26"/>
        </w:rPr>
        <w:t xml:space="preserve">4)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u w:val="none"/>
        </w:rPr>
        <w:t xml:space="preserve">Личные приемы иностранных граждан и граждан Российской Федерации.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u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</w:r>
    </w:p>
    <w:p>
      <w:pPr>
        <w:pStyle w:val="846"/>
        <w:ind w:firstLine="567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В целях улучшения правового просвещения граждан, предупреждения и локализации возможных негативных процессов, связанных с нарушением миграционного законодательства Российской Федерации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руководством министерства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совместно с Управлением по вопросам миграции МВД России по Удмуртской Республике, Следственным управлением Следственного комитета РФ по Удмуртской Республике, Министерством социальной защиты и труда Удмуртской Республики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с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участием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национальн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о-культурных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общественных организаций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проводятся  совместные личные приемы иностранных граждан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.  В 202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4 проведено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4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совместны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х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 приема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, в ходе котор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ых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 более, чем 40 гражданам были даны правовые консультации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о нормах Федерального закона «О гражданстве Российской Федерации» и Федерального закона «О правовом положении иностранных граждан в Российской Федерации», в том числе, по таким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вопросам в сфере миграционного  законодательства Российской Федерации, как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предоставление гражданства Российской Федерации,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порядок постановки на миграционный учёт иностранных граждан,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определение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квоты на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привлечение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иностранн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ой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рабоч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ей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сил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ы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. 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  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pStyle w:val="846"/>
        <w:ind w:firstLine="567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5)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</w:rPr>
        <w:t xml:space="preserve">Одной из форм правовой грамотности населения является размещение на официальных са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</w:rPr>
        <w:t xml:space="preserve">йтах и иных ресурсах министерства и подведомственного учреждения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</w:rPr>
        <w:t xml:space="preserve">анонсов, постов, новостей и иных информационных материалов, направленных на освещение событий по актуальным направлениям Стратегии государственной национальной политики Российской Федерации на период до 2025 года, утвержденной Указом Президента России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highlight w:val="none"/>
        </w:rPr>
        <w:t xml:space="preserve">от 19.12.2012 г.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</w:rPr>
        <w:t xml:space="preserve"> № 1666, и иной информации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</w:rPr>
        <w:t xml:space="preserve">, направленной на правовое просвещение и правовое инфо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</w:rPr>
        <w:t xml:space="preserve">рмирование граждан.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pStyle w:val="856"/>
        <w:ind w:firstLine="0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 xml:space="preserve"> 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      На официальном сайте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сети «Интернет»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раздел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(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баннер-ссылк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а)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«Бесплатная юридическая помощь», где содержится вся нео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бходимая для граждан информация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, предусмотренная статьей 12 Закона Удмуртской Республики от  17.12.2012 № 70-РЗ «Об оказании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бесплатной юридической помощи в Удмуртской Республике».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</w:p>
    <w:p>
      <w:pPr>
        <w:pStyle w:val="856"/>
        <w:ind w:firstLine="0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       Также на официальном сайте размещена информация о видах бесплатной юридической помощи, категориях граждан, имеющих право на получение бесплатной юридической помощи, перечень необходимых документов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, представляемых для ее получения,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графиках приема граждан, списках адвокатов, списках ответственных лиц за оказание бесплатного правовой помощи и правовому просвещению. Размещен видеоролик «Бесплатная юридическая помощь в Удмуртской Республике» и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буклет с одноименным названием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</w:p>
    <w:p>
      <w:pPr>
        <w:pStyle w:val="856"/>
        <w:ind w:firstLine="0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 xml:space="preserve">      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</w:rPr>
        <w:t xml:space="preserve">На официальном сайте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</w:rPr>
        <w:t xml:space="preserve"> министерства размещена информация о деятельности Миннаца,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</w:rPr>
        <w:t xml:space="preserve">  направленной на обеспечение защиты прав и свобод человека и гражданина, общества и государства от противоправных посягательств, в порядке, предусмотренном Федеральным законом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</w:rPr>
        <w:t xml:space="preserve"> от 23 июня 2016 года № 182-ФЗ "Об основах системы профилактики правонарушений в Российской Федерации".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</w:p>
    <w:p>
      <w:pPr>
        <w:pStyle w:val="846"/>
        <w:ind w:firstLine="540"/>
        <w:jc w:val="both"/>
        <w:spacing w:line="240" w:lineRule="auto"/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С целью правового просвещения в вопросах реализации законодательства о противодействии экстремизму и терроризму на официальном сайте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инистерства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в специальном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раздел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«Профилактика терроризма» размещ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ено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более 20 методических материалов,  20 видеороликов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полученн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ых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с официального сайта Н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ационального антитеррористического комитета, посвященны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х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вопросам противодействия терроризму и его идеологи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</w:p>
    <w:p>
      <w:pPr>
        <w:ind w:firstLine="540"/>
        <w:jc w:val="both"/>
        <w:spacing w:line="240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highlight w:val="none"/>
        </w:rPr>
        <w:t xml:space="preserve">В 2024 году министерством в зале приема  граждан  филиала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Федерального государственного унитарного предприятия «Паспортно-визовый сервис» Министерства внутренних дел Российской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highlight w:val="none"/>
        </w:rPr>
        <w:t xml:space="preserve">Федерации по Удмуртской Республике, с трафиком не менее 100 человек ежедневно, размещена памятка для иностранных граждан в целях их правового просвещения в вопросах соблюдения миграционного законодательства.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pStyle w:val="846"/>
        <w:ind w:firstLine="709"/>
        <w:jc w:val="both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shd w:val="clear" w:color="auto" w:fill="ffffff"/>
        </w:rPr>
        <w:t xml:space="preserve">На телеканалах с вещанием на территории Удмуртской Республики ведется размещение социальной рекламы, созданной при поддержке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shd w:val="clear" w:color="auto" w:fill="ffffff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shd w:val="clear" w:color="auto" w:fill="ffffff"/>
        </w:rPr>
        <w:t xml:space="preserve">инистерства  и направленной на правовое просвещение и пропаганду ценности межнациональных отношений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shd w:val="clear" w:color="auto" w:fill="ffffff"/>
        </w:rPr>
        <w:t xml:space="preserve">(ролики об армянах, азербайджанцах, узбеках, таджиках, цыганах).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6"/>
        <w:ind w:firstLine="709"/>
        <w:jc w:val="both"/>
        <w:spacing w:line="240" w:lineRule="auto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азработана Памятка иностранному гражданину, прибывшему на территорию Удмуртской Республики на 4 языках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7) Просветительская информация  в количестве не менее 6 постов в неделю в соответствии с медиапланом  ежедневно  размещается на госпабликах министерс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тва и подведомственного учреждения. Кроме этого, министром в доступной форме на личной странице еженедельн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о размещается не менее 3 постов с информацией о  деятельности министерства, позитивных изменениях в  национальной политике и в целом в реализации Стратегии государственной национальной политики Российской Федерации.</w:t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r>
    </w:p>
    <w:p>
      <w:pPr>
        <w:pStyle w:val="846"/>
        <w:ind w:firstLine="708"/>
        <w:jc w:val="both"/>
        <w:spacing w:after="0" w:line="240" w:lineRule="auto"/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В 2024 году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 н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а официальных сайтах министерства и БУ УР «Дом Дружбы народов», в группе "Вконтакте", в телеграм-канале, на личной странице министра "Вконтакте", а также в общем чате, созданном для информирования руководителей национально-культурных объединений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размещено свыше 1200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 информационных материалов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 по актуальным вопросам национальной политики и деятельности министерства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На личной странице министра размещено не менее 100 публика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ций о деятельности министерства в течение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  2024 г., количество выступлений в </w:t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СМИ составило более 10 единиц.</w:t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</w:r>
    </w:p>
    <w:p>
      <w:pPr>
        <w:pStyle w:val="846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shd w:val="clear" w:color="auto" w:fill="ffffff"/>
        </w:rPr>
        <w:t xml:space="preserve">          Примеры: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24 января 2024 года в региональном издании «Сусанин – новости Удмуртии и Ижевска» министр национальной политики УР Петров Э.С. прокомментировал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shd w:val="clear" w:color="auto" w:fill="ffffff"/>
        </w:rPr>
        <w:t xml:space="preserve">слова Петра Толстого о «межнациональном либерализме»: н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ационально-культурные общественные объединения являются важнейшим стабилизирующим фактором в общественно-политической жизни республики, являются достаточно т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очными индикаторами этносоциальных проблем этнических групп. Согласно статье 3 Конституции РФ носителем суверенитета и единственным источником власти в стране является её многонациональный народ. Конституцией предусмотрена поддержка институтов гражданского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общества, в том числе некоммерческих организаций, обеспечение их участия в выработке и проведении государственной политики…».</w:t>
      </w:r>
      <w:r>
        <w:rPr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26 января 2024 года на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личной странице ВК министр национальной политики УР Петров ЭС. в рамках повышения правового просвещения в ч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асти реализации законодательства о некоммерческих организациях опубликовал пост о проведении рабочей встречи Главы Удмуртской Республики Бречалова А.В. и Руководителя Россотрудничества Примакова Е.В. с лидерами национально-культурных объединений Удмуртии 2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5 января 2024 года в Доме Дружбы народов. В ходе  рабочей встречи были обсуждены механизмы поддержки СОНКО, предусмотренные законодательством о некоммерческих организациях, и презентованы лучшие мол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одежные практики НКО, направленные на формирование чувства единства российской нации, патриотическое воспитание молодежи, гармонизацию межнациональных отношений и иные актуальные вопросы Стратегии государственной национальной политики Российской Федерации.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right="0" w:firstLine="540"/>
        <w:jc w:val="both"/>
        <w:spacing w:before="168" w:after="0" w:line="240" w:lineRule="auto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highlight w:val="none"/>
        </w:rPr>
        <w:t xml:space="preserve"> Иные примеры проведения мероприятий, способствующих правовому просвещению населения: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r>
    </w:p>
    <w:p>
      <w:pPr>
        <w:ind w:left="0" w:right="0" w:firstLine="540"/>
        <w:jc w:val="both"/>
        <w:spacing w:before="168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</w:rPr>
        <w:t xml:space="preserve">3 октября  2024 года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был проведен ежегодный межрегиональный форум  лучших муниципальных практик, направленный на правовое просвещение  представителей органов местного самоуправления по актуальным вопросам в сфере адаптации и интеграции иностранных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граждан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, включая иностранных студентов, сохранения удмуртского языка, патриотического воспитания подрастающего поколения. Данные темы наиболее часто являются предметом обращений и запросов граждан в министерство.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 В рамках форума для участников мероприятия было организовано правовое просвещение по законодательству в сфере национальной политики.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 Охват участников форума в 2024 году составил 150 человек в очном формате и более 1000 в режиме онлайн;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highlight w:val="none"/>
        </w:rPr>
      </w:r>
    </w:p>
    <w:p>
      <w:pPr>
        <w:pStyle w:val="846"/>
        <w:ind w:firstLine="567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25 сентября 2024 года под председательством  Руководителя АГИП УР Журавлева А.А. прошла рабочая встреча с членами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Всеудмуртской ассоциации Удмурт Кенеш по правовым вопросам с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охранени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я и развития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удмуртского языка 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в рамках реализации законодательства о государственных языках Удмуртской Республики;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pStyle w:val="856"/>
        <w:ind w:firstLine="708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9 января 2024 года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руководители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НКО были приглашены на заседание Антитеррористической комиссии под председательством Главы Удмуртской Республики для участия в рассмотрени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и вопросов о профилактике террористических и экстремистских проявлений в межнациональной и межконфессиональной сферах, что также способствовало улучшению правового просвещения граждан в вопросах современной геополитической ситуации в России и мире в целом.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pStyle w:val="856"/>
        <w:ind w:firstLine="708"/>
        <w:jc w:val="both"/>
        <w:spacing w:before="0" w:beforeAutospacing="0" w:after="0" w:afterAutospacing="0" w:line="240" w:lineRule="auto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25 июля 2024 года</w:t>
      </w:r>
      <w:r>
        <w:rPr>
          <w:sz w:val="26"/>
          <w:szCs w:val="26"/>
        </w:rPr>
        <w:t xml:space="preserve"> на площадке Ижевской и Удмуртской Епархии в рамках совещания с руководителями национально-культурных объединений и религиозных организаций с участием представителей Министерства образования и науки Удмуртской Республики широко обсуждались правовые вопросы</w:t>
      </w:r>
      <w:r>
        <w:rPr>
          <w:sz w:val="26"/>
          <w:szCs w:val="26"/>
        </w:rPr>
        <w:t xml:space="preserve">, касающиеся принятия Концепции государственной языковой политики Российской Федерации, утвержденной распоряжением Правитель</w:t>
      </w:r>
      <w:r>
        <w:rPr>
          <w:sz w:val="26"/>
          <w:szCs w:val="26"/>
        </w:rPr>
        <w:t xml:space="preserve">ства российской Федерации от 12</w:t>
      </w:r>
      <w:r>
        <w:rPr>
          <w:sz w:val="26"/>
          <w:szCs w:val="26"/>
        </w:rPr>
        <w:t xml:space="preserve">.06.2024 г. № 1481-р.   Основные вопросы касались правовых аспектов реализации вновь принятой Концепции в </w:t>
      </w:r>
      <w:r>
        <w:rPr>
          <w:sz w:val="26"/>
          <w:szCs w:val="26"/>
          <w:lang w:eastAsia="en-US"/>
        </w:rPr>
        <w:t xml:space="preserve"> контексте этнокультурного образования; 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56"/>
        <w:ind w:firstLine="708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color w:val="auto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1 октября 2024 года в Общественной палате Удмуртской Республики прошел круглый стол, посвященный  реализации Указа Президента РФ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  <w:highlight w:val="white"/>
        </w:rPr>
        <w:t xml:space="preserve">от 09.11.2022 №  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  <w:highlight w:val="white"/>
        </w:rPr>
        <w:t xml:space="preserve">809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  <w:highlight w:val="white"/>
        </w:rPr>
        <w:t xml:space="preserve"> "Об утверждении Основ государственной политики по сохранению и укреплению традиционных российских 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  <w:highlight w:val="white"/>
        </w:rPr>
        <w:t xml:space="preserve">духовно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  <w:highlight w:val="white"/>
        </w:rPr>
        <w:t xml:space="preserve">-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  <w:highlight w:val="white"/>
        </w:rPr>
        <w:t xml:space="preserve">нравственных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  <w:highlight w:val="white"/>
        </w:rPr>
        <w:t xml:space="preserve">ценностей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  <w:highlight w:val="white"/>
        </w:rPr>
        <w:t xml:space="preserve">"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  <w:highlight w:val="none"/>
        </w:rPr>
        <w:t xml:space="preserve">, в рамках которого были рассмотрены также правовые аспекты Указа.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  <w:highlight w:val="none"/>
        </w:rPr>
        <w:t xml:space="preserve"> В работе круглого стола приняли участие руководители НКО и религиозных организаций, был заслушан доклад министра национальной политики Петрова Э.С.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  <w:highlight w:val="none"/>
        </w:rPr>
        <w:t xml:space="preserve">;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  <w:highlight w:val="none"/>
        </w:rPr>
      </w:r>
    </w:p>
    <w:p>
      <w:pPr>
        <w:pStyle w:val="846"/>
        <w:ind w:firstLine="567"/>
        <w:jc w:val="both"/>
        <w:spacing w:after="0" w:line="276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1 ноября 2024 года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под председательством Главы Удмуртской Республики Бречалова А.В. прошла рабочая встреча с руководителями всех республиканских НКО по актуальным вопросам в сфере межэтнических отношений в условиях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современной геополитической ситуации.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Были обсуждены правовые механизмы поддержки СОНКО и презентованы успешные волонтерские, молодежные, патриотические проекты НКО.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Встреча прошла в рамках работы Общественного совета по вопросам межнациональных отношений при Главе Удмуртской Республики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pPr>
      <w:r>
        <w:rPr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</w:p>
    <w:p>
      <w:pPr>
        <w:pStyle w:val="846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tabs>
          <w:tab w:val="left" w:pos="1425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sectPr>
      <w:footnotePr/>
      <w:endnotePr/>
      <w:type w:val="nextPage"/>
      <w:pgSz w:w="11906" w:h="16838" w:orient="portrait"/>
      <w:pgMar w:top="1134" w:right="567" w:bottom="1134" w:left="1134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0" w:hanging="81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6" w:hanging="4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6"/>
    <w:next w:val="846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6"/>
    <w:next w:val="846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6"/>
    <w:next w:val="846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6"/>
    <w:next w:val="846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6"/>
    <w:next w:val="846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6"/>
    <w:next w:val="846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6"/>
    <w:next w:val="846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6"/>
    <w:next w:val="846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6"/>
    <w:next w:val="846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List Paragraph"/>
    <w:basedOn w:val="846"/>
    <w:uiPriority w:val="34"/>
    <w:qFormat/>
    <w:pPr>
      <w:contextualSpacing/>
      <w:ind w:left="720"/>
    </w:pPr>
  </w:style>
  <w:style w:type="paragraph" w:styleId="687">
    <w:name w:val="No Spacing"/>
    <w:uiPriority w:val="1"/>
    <w:qFormat/>
    <w:pPr>
      <w:spacing w:before="0" w:after="0" w:line="240" w:lineRule="auto"/>
    </w:pPr>
  </w:style>
  <w:style w:type="paragraph" w:styleId="688">
    <w:name w:val="Title"/>
    <w:basedOn w:val="846"/>
    <w:next w:val="846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link w:val="688"/>
    <w:uiPriority w:val="10"/>
    <w:rPr>
      <w:sz w:val="48"/>
      <w:szCs w:val="48"/>
    </w:rPr>
  </w:style>
  <w:style w:type="paragraph" w:styleId="690">
    <w:name w:val="Subtitle"/>
    <w:basedOn w:val="846"/>
    <w:next w:val="846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link w:val="690"/>
    <w:uiPriority w:val="11"/>
    <w:rPr>
      <w:sz w:val="24"/>
      <w:szCs w:val="24"/>
    </w:rPr>
  </w:style>
  <w:style w:type="paragraph" w:styleId="692">
    <w:name w:val="Quote"/>
    <w:basedOn w:val="846"/>
    <w:next w:val="846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6"/>
    <w:next w:val="846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6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Header Char"/>
    <w:link w:val="696"/>
    <w:uiPriority w:val="99"/>
  </w:style>
  <w:style w:type="paragraph" w:styleId="698">
    <w:name w:val="Footer"/>
    <w:basedOn w:val="846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link w:val="698"/>
    <w:uiPriority w:val="99"/>
  </w:style>
  <w:style w:type="paragraph" w:styleId="700">
    <w:name w:val="Caption"/>
    <w:basedOn w:val="846"/>
    <w:next w:val="846"/>
    <w:link w:val="7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next w:val="846"/>
    <w:link w:val="846"/>
    <w:qFormat/>
    <w:rPr>
      <w:sz w:val="24"/>
      <w:szCs w:val="24"/>
      <w:lang w:val="ru-RU" w:eastAsia="ru-RU" w:bidi="ar-SA"/>
    </w:rPr>
  </w:style>
  <w:style w:type="character" w:styleId="847">
    <w:name w:val="Основной шрифт абзаца"/>
    <w:next w:val="847"/>
    <w:link w:val="846"/>
    <w:semiHidden/>
  </w:style>
  <w:style w:type="table" w:styleId="848">
    <w:name w:val="Обычная таблица"/>
    <w:next w:val="848"/>
    <w:link w:val="846"/>
    <w:semiHidden/>
    <w:tblPr/>
  </w:style>
  <w:style w:type="numbering" w:styleId="849">
    <w:name w:val="Нет списка"/>
    <w:next w:val="849"/>
    <w:link w:val="846"/>
    <w:semiHidden/>
  </w:style>
  <w:style w:type="paragraph" w:styleId="850">
    <w:name w:val="Текст выноски"/>
    <w:basedOn w:val="846"/>
    <w:next w:val="850"/>
    <w:link w:val="846"/>
    <w:semiHidden/>
    <w:rPr>
      <w:rFonts w:ascii="Tahoma" w:hAnsi="Tahoma" w:cs="Tahoma"/>
      <w:sz w:val="16"/>
      <w:szCs w:val="16"/>
    </w:rPr>
  </w:style>
  <w:style w:type="table" w:styleId="851">
    <w:name w:val="Сетка таблицы"/>
    <w:basedOn w:val="848"/>
    <w:next w:val="851"/>
    <w:link w:val="846"/>
    <w:tblPr/>
  </w:style>
  <w:style w:type="paragraph" w:styleId="852">
    <w:name w:val="Верхний колонтитул"/>
    <w:basedOn w:val="846"/>
    <w:next w:val="852"/>
    <w:link w:val="846"/>
    <w:pPr>
      <w:tabs>
        <w:tab w:val="center" w:pos="4677" w:leader="none"/>
        <w:tab w:val="right" w:pos="9355" w:leader="none"/>
      </w:tabs>
    </w:pPr>
  </w:style>
  <w:style w:type="paragraph" w:styleId="853">
    <w:name w:val="Нижний колонтитул"/>
    <w:basedOn w:val="846"/>
    <w:next w:val="853"/>
    <w:link w:val="846"/>
    <w:pPr>
      <w:tabs>
        <w:tab w:val="center" w:pos="4677" w:leader="none"/>
        <w:tab w:val="right" w:pos="9355" w:leader="none"/>
      </w:tabs>
    </w:pPr>
  </w:style>
  <w:style w:type="paragraph" w:styleId="854">
    <w:name w:val="Основной текст с отступом"/>
    <w:basedOn w:val="846"/>
    <w:next w:val="854"/>
    <w:link w:val="846"/>
    <w:pPr>
      <w:ind w:firstLine="720"/>
      <w:jc w:val="both"/>
    </w:pPr>
    <w:rPr>
      <w:sz w:val="28"/>
    </w:rPr>
  </w:style>
  <w:style w:type="character" w:styleId="855">
    <w:name w:val="Гиперссылка"/>
    <w:next w:val="855"/>
    <w:link w:val="846"/>
    <w:rPr>
      <w:color w:val="0000ff"/>
      <w:u w:val="single"/>
    </w:rPr>
  </w:style>
  <w:style w:type="paragraph" w:styleId="856">
    <w:name w:val="Обычный (веб)"/>
    <w:basedOn w:val="846"/>
    <w:next w:val="856"/>
    <w:link w:val="846"/>
    <w:pPr>
      <w:spacing w:before="100" w:beforeAutospacing="1" w:after="100" w:afterAutospacing="1"/>
    </w:pPr>
  </w:style>
  <w:style w:type="paragraph" w:styleId="857">
    <w:name w:val="Без интервала"/>
    <w:next w:val="857"/>
    <w:link w:val="846"/>
    <w:uiPriority w:val="1"/>
    <w:qFormat/>
    <w:rPr>
      <w:rFonts w:ascii="Calibri" w:hAnsi="Calibri"/>
      <w:sz w:val="22"/>
      <w:szCs w:val="22"/>
      <w:lang w:val="ru-RU" w:eastAsia="ru-RU" w:bidi="ar-SA"/>
    </w:rPr>
  </w:style>
  <w:style w:type="paragraph" w:styleId="858">
    <w:name w:val="ConsPlusNormal"/>
    <w:next w:val="858"/>
    <w:link w:val="846"/>
    <w:pPr>
      <w:widowControl w:val="off"/>
    </w:pPr>
    <w:rPr>
      <w:sz w:val="26"/>
      <w:lang w:val="ru-RU" w:eastAsia="ru-RU" w:bidi="ar-SA"/>
    </w:rPr>
  </w:style>
  <w:style w:type="character" w:styleId="859" w:default="1">
    <w:name w:val="Default Paragraph Font"/>
    <w:uiPriority w:val="1"/>
    <w:semiHidden/>
    <w:unhideWhenUsed/>
  </w:style>
  <w:style w:type="numbering" w:styleId="860" w:default="1">
    <w:name w:val="No List"/>
    <w:uiPriority w:val="99"/>
    <w:semiHidden/>
    <w:unhideWhenUsed/>
  </w:style>
  <w:style w:type="table" w:styleId="861" w:default="1">
    <w:name w:val="Normal Table"/>
    <w:uiPriority w:val="99"/>
    <w:semiHidden/>
    <w:unhideWhenUsed/>
    <w:tblPr/>
  </w:style>
  <w:style w:type="paragraph" w:styleId="862" w:customStyle="1">
    <w:name w:val="Normal (Web)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*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</dc:title>
  <dc:creator>*</dc:creator>
  <cp:lastModifiedBy>sokovikova_liu</cp:lastModifiedBy>
  <cp:revision>22</cp:revision>
  <dcterms:created xsi:type="dcterms:W3CDTF">2021-03-16T10:45:00Z</dcterms:created>
  <dcterms:modified xsi:type="dcterms:W3CDTF">2025-02-11T05:40:54Z</dcterms:modified>
  <cp:version>786432</cp:version>
</cp:coreProperties>
</file>