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работы с обращениями граждан в Министерстве </w:t>
      </w:r>
      <w:r>
        <w:rPr>
          <w:b/>
          <w:bCs/>
          <w:sz w:val="28"/>
          <w:szCs w:val="28"/>
        </w:rPr>
        <w:t xml:space="preserve">национальной политики Удмуртской Республики за </w:t>
      </w: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 2025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квартале 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Министерств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национальной политики Удмуртской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лики поступило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письменных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граждан: из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Администрации Главы и Правительства 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дмуртской Республики – 2, Министерства природных ресурсов и охраны окружающей среды Удмуртской Республики – 25,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напрямую в Министерство – 1.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Вся поступившая корреспонденция от граждан рассматривается с учетом тематики поставленных вопросов и компетенции Министерства.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Тематика обращений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Национальная политика;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Строительство храмов, мечетей;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Миграционная политика;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ilvl w:val="0"/>
          <w:numId w:val="1"/>
        </w:numPr>
        <w:jc w:val="both"/>
        <w:spacing w:line="276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  <w:shd w:val="clear" w:color="auto" w:fill="ffffff"/>
        </w:rPr>
        <w:t xml:space="preserve">Деятельность этнокультурных школ при национально-культурных объединениях (НКО).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По результатам рассмотрения всех поступивших обращений гражданам  даны  письменные  ответы в соответствии с Федеральным законом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02.05.2006 №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59-ФЗ  «О порядке рассмотрения обращений граждан Российской Федерации».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Министром национальной политики Удму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ртской Республики и заместителями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рамках личного приёма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принято 7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человек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Темы правовых вопросов, с которыми граждане обращались на личный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прием, в основном, совпадали с вопросами, обозначенными в письменных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обращениях.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Приоритетными в личных заявлениях были и остаются вопросы,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касающиеся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реализации языковой политики, сохранения и развития языков народов,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проживающих на территории Удмуртской Республики, изучения удмуртского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языка в школах республики и за ее пределами.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Среди других тем отмечены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 следующие: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порядок оказания методической и иной ресурсной поддержки в реализации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проектов, направленных на решение целей и задач, определенных Стратегий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государ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ственной национальной политики Российской Федерации на период до 2025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года;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деятельность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некоммерческих организаций (общественных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религиозных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ассоциаций (союзов), казачьих обществ, общин коренных малочисленных народов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Российской Федерации, фондов, автономных организаций.)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Личные приемы населения с предоставлением правовой информации по законодательству в сфере государственной национальной политики осуществлялись министром национальной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политики Удмуртской Республики                Э.С.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Петровым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ходе выездных мероприятий в муниципальные образования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(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Кизнерский, Балезинский, Завьяловский, Можгинский, Сарапульский,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Якшур-Бодьинский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Ярский, Шарканский районы, г. Можга, 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Глазов, 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Воткинск, г. Сарапул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). 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837"/>
        <w:ind w:firstLine="851"/>
        <w:jc w:val="both"/>
        <w:spacing w:before="0" w:beforeAutospacing="0" w:after="0" w:afterAutospacing="0" w:line="276" w:lineRule="auto"/>
        <w:rPr>
          <w:rFonts w:ascii="PT Astra Serif" w:hAnsi="PT Astra Serif" w:cs="PT Astra Serif"/>
          <w:color w:val="1a1a1a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746" w:bottom="1134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paragraph" w:styleId="839">
    <w:name w:val="Balloon Text"/>
    <w:basedOn w:val="833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Шараева Ярослава Михайловна</dc:creator>
  <cp:lastModifiedBy>isaeva_pv</cp:lastModifiedBy>
  <cp:revision>10</cp:revision>
  <dcterms:created xsi:type="dcterms:W3CDTF">2024-10-14T14:00:00Z</dcterms:created>
  <dcterms:modified xsi:type="dcterms:W3CDTF">2025-06-27T12:12:33Z</dcterms:modified>
</cp:coreProperties>
</file>