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Удмуртской Республики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предоставления грантов в форме субсидий на реализацию молодежных проектов в сфере государственной национальной политики»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проект пос</w:t>
      </w:r>
      <w:r>
        <w:rPr>
          <w:rFonts w:ascii="Times New Roman" w:hAnsi="Times New Roman" w:cs="Times New Roman"/>
          <w:sz w:val="28"/>
          <w:szCs w:val="28"/>
        </w:rPr>
        <w:t xml:space="preserve">тановления вносится в целях вовлечения молодых граждан в деятельность по сохранению и поддержке этнокультурного и языкового многообразия Удмуртской Республики в контексте реализации государственной национальной политики через проведение конкурсов проектов.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Конкурс молодежных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позволит поддержать инициативы м</w:t>
      </w:r>
      <w:r>
        <w:rPr>
          <w:rFonts w:ascii="Times New Roman" w:hAnsi="Times New Roman" w:cs="Times New Roman"/>
          <w:sz w:val="28"/>
          <w:szCs w:val="28"/>
        </w:rPr>
        <w:t xml:space="preserve">олодых граждан в области сохранения и возрождения духовной и материальной культуры, традиций и обычаев народов России, развития этнотуризма и декоративно-прикладного искусства, совершенствования и разработки онлайн-платформ по изучению родных языков, созда</w:t>
      </w:r>
      <w:r>
        <w:rPr>
          <w:rFonts w:ascii="Times New Roman" w:hAnsi="Times New Roman" w:cs="Times New Roman"/>
          <w:sz w:val="28"/>
          <w:szCs w:val="28"/>
        </w:rPr>
        <w:t xml:space="preserve">ния контента (видеоматериалы, аудиокниги, клипы) на языках народов России, а также будет способствовать гармонизации межнациональных отношений и укреплению гражданского единства народов Российской Федерации, проживающих на территории Удмуртской Республики.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определяет механизм выявления получателей грантов, расчет объема предоставляемой субсидии, а также механизм предоставления и контроля использования грантов.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национальной политики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Удмуртской Республики </w:t>
        <w:tab/>
        <w:t xml:space="preserve">                                                            Э.С. Петров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32"/>
        <w:tblW w:w="9570" w:type="dxa"/>
        <w:tblInd w:w="0" w:type="dxa"/>
        <w:tblLook w:val="0000" w:firstRow="0" w:lastRow="0" w:firstColumn="0" w:lastColumn="0" w:noHBand="0" w:noVBand="0"/>
      </w:tblPr>
      <w:tblGrid>
        <w:gridCol w:w="4785"/>
        <w:gridCol w:w="4785"/>
      </w:tblGrid>
      <w:tr>
        <w:trPr>
          <w:cantSplit w:val="false"/>
        </w:trPr>
        <w:tblPrEx/>
        <w:tc>
          <w:tcPr>
            <w:tcW w:w="4785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5" w:type="dxa"/>
            <w:noWrap w:val="false"/>
            <w:textDirection w:val="lrTb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Финансово-экономическое обоснование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Удмуртской Республики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предоставления грантов на реализацию молодежных проектов в сфере государственной национальной политики»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ind w:firstLine="73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грантов физическим лицам на реализизацию молодежных проектов, направленных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сохранение и развитие государственных языков и иных языков народов Удмуртской Республики, будет осуществляться в рамках новой государственной программы Удмуртской Республики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«Сохранение, изучение и развитие государственных языков Удмуртской Республики и иных языков народов Удмуртской Республики», утвержденной постановлением Правительства Удмуртской Республики от 27 июня 2022 года № 330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ind w:firstLine="73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Поддержка молодежных проектов предусмотрена в рамках мероприятий 05.1.06.02 «Грантовая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поддержка общественных и частных инициатив в сфере реализации государственной национальной политики, направленных на сохранение и развитие государственных языков и иных языков народов Удмуртской Республики» государственной программы Удмуртской Республики.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ind w:firstLine="73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Ежегодно будет поддержано 8-10 молодежных проектов. Максимальная сумма на реализацию одного молодежного проекта 200,0 тыс.руб.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Гранты предусмотрены на покрытие следующих расходов, связанных с реализацией проекта: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питание и проживание участников;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оплата труда (с учетом соответствующих страховых взносов в государственные внебюджетные фонды Российской Федерации) руководителя и специалистов, реализующих проект;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проезд участников;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г) аренда помещений и транспорта;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д) оплата организационных взносов;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приобретение призов, канцелярских товаров, сувенирной продукции, цветов, выплата премии участникам и победителям;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изготовление сувенирной и печатной продукции;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оплата информационных услуг;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приобретение инвентаря и расходных материалов;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приобретение горюче-смазочных материалов;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аренда аппаратуры, инвентаря;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оплата услуг творческих коллективов, артистов.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Примеры финансовых расчетов на реализацию молодежных проектов, направленных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сохранение и развитие государственных языков и иных языков народов Удмуртской Республики: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633"/>
        <w:tblW w:w="9354" w:type="dxa"/>
        <w:tblInd w:w="0" w:type="dxa"/>
        <w:tblLook w:val="04A0" w:firstRow="1" w:lastRow="0" w:firstColumn="1" w:lastColumn="0" w:noHBand="0" w:noVBand="1"/>
      </w:tblPr>
      <w:tblGrid>
        <w:gridCol w:w="645"/>
        <w:gridCol w:w="2114"/>
        <w:gridCol w:w="1525"/>
        <w:gridCol w:w="5070"/>
      </w:tblGrid>
      <w:tr>
        <w:trPr>
          <w:cantSplit w:val="false"/>
        </w:trPr>
        <w:tblPrEx/>
        <w:tc>
          <w:tcPr>
            <w:tcW w:w="345" w:type="pc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tcW w:w="1130" w:type="pc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Название проекта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tcW w:w="815" w:type="pc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Расходы (руб.)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tcW w:w="2710" w:type="pc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Расчет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</w:tr>
      <w:tr>
        <w:trPr>
          <w:cantSplit w:val="false"/>
        </w:trPr>
        <w:tblPrEx/>
        <w:tc>
          <w:tcPr>
            <w:tcW w:w="345" w:type="pct"/>
            <w:noWrap w:val="false"/>
            <w:textDirection w:val="lrTb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130" w:type="pct"/>
            <w:noWrap w:val="false"/>
            <w:textDirection w:val="lrTb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Медиа-лаборатория этнокультурного образования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815" w:type="pct"/>
            <w:noWrap w:val="false"/>
            <w:textDirection w:val="lrTb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200 000,00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710" w:type="pct"/>
            <w:noWrap w:val="false"/>
            <w:textDirection w:val="lrTb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 Оплата труда привлеченных специалистов: 20 000,00 руб. (2 чел. * 10 000,00);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 Закупка оборудования: 140 000,00 руб. (ноутбук, программное обеспечение, карта памяти);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3. Раздаточный материал для участников: 10 000,00 руб.;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4. Питание участников: 30 000,00 руб. (20 чел. * 5 дн. *300 руб.)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cantSplit w:val="false"/>
        </w:trPr>
        <w:tblPrEx/>
        <w:tc>
          <w:tcPr>
            <w:tcW w:w="345" w:type="pct"/>
            <w:noWrap w:val="false"/>
            <w:textDirection w:val="lrTb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130" w:type="pct"/>
            <w:noWrap w:val="false"/>
            <w:textDirection w:val="lrTb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Передвижная школа этноблогера 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815" w:type="pct"/>
            <w:noWrap w:val="false"/>
            <w:textDirection w:val="lrTb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161 000,00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710" w:type="pct"/>
            <w:noWrap w:val="false"/>
            <w:textDirection w:val="lrTb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 Оплата труда привлеченных специалистов:  45 000,00 руб.(3 чел. * 15 000,00 руб.);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 Питание участников: 30 000,00 руб. (20 чел.* 3 дн.* 500 руб.);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3. Проживание участников: 36 000,00 руб. (20 чел. 3 дн. * 600 руб.);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4. Транспортные расходы (по районам УР): 50 000,00 руб.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cantSplit w:val="false"/>
        </w:trPr>
        <w:tblPrEx/>
        <w:tc>
          <w:tcPr>
            <w:tcW w:w="345" w:type="pct"/>
            <w:noWrap w:val="false"/>
            <w:textDirection w:val="lrTb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130" w:type="pct"/>
            <w:noWrap w:val="false"/>
            <w:textDirection w:val="lrTb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Разработка мобильного приложения удмуртского школьника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815" w:type="pct"/>
            <w:noWrap w:val="false"/>
            <w:textDirection w:val="lrTb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170 000,00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710" w:type="pct"/>
            <w:noWrap w:val="false"/>
            <w:textDirection w:val="lrTb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 Оплата труда специалистов: 105 000,00 руб. (3 чел. * 35 000,00 руб.);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 Закупка программного обеспечения: 65 000,00 руб.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bookmarkStart w:id="0" w:name="_GoBack"/>
      <w:bookmarkEnd w:id="0"/>
    </w:p>
    <w:p>
      <w:pPr>
        <w:widowControl w:val="off"/>
        <w:spacing w:after="0" w:line="240" w:lineRule="auto"/>
        <w:rPr>
          <w:rFonts w:ascii="Times New Roman" w:hAnsi="Times New Roman" w:eastAsia="SimSun" w:cs="Times New Roman"/>
          <w:sz w:val="20"/>
          <w:szCs w:val="20"/>
        </w:rPr>
      </w:pPr>
      <w:r>
        <w:rPr>
          <w:rFonts w:ascii="Times New Roman" w:hAnsi="Times New Roman" w:eastAsia="SimSun" w:cs="Times New Roman"/>
          <w:sz w:val="20"/>
          <w:szCs w:val="20"/>
        </w:rPr>
      </w:r>
      <w:r>
        <w:rPr>
          <w:rFonts w:ascii="Times New Roman" w:hAnsi="Times New Roman" w:eastAsia="SimSun" w:cs="Times New Roman"/>
          <w:sz w:val="20"/>
          <w:szCs w:val="20"/>
        </w:rPr>
      </w:r>
    </w:p>
    <w:p/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type w:val="nextPage"/>
      <w:pgSz w:w="11906" w:h="16838" w:orient="portrait"/>
      <w:pgMar w:top="1418" w:right="851" w:bottom="1418" w:left="1701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  <w:ind w:left="360" w:hanging="360"/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  <w:ind w:left="360" w:hanging="360"/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  <w:ind w:left="360" w:hanging="360"/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  <w:ind w:left="360" w:hanging="360"/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  <w:ind w:left="360" w:hanging="360"/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  <w:ind w:left="360" w:hanging="360"/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  <w:ind w:left="360" w:hanging="360"/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  <w:ind w:left="360" w:hanging="3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firstLine="0"/>
      </w:pPr>
    </w:lvl>
    <w:lvl w:ilvl="2">
      <w:start w:val="1"/>
      <w:numFmt w:val="lowerRoman"/>
      <w:isLgl w:val="false"/>
      <w:suff w:val="tab"/>
      <w:lvlText w:val="%3."/>
      <w:lvlJc w:val="left"/>
      <w:pPr>
        <w:ind w:left="1980" w:firstLine="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firstLine="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firstLine="0"/>
      </w:pPr>
    </w:lvl>
    <w:lvl w:ilvl="5">
      <w:start w:val="1"/>
      <w:numFmt w:val="lowerRoman"/>
      <w:isLgl w:val="false"/>
      <w:suff w:val="tab"/>
      <w:lvlText w:val="%6."/>
      <w:lvlJc w:val="left"/>
      <w:pPr>
        <w:ind w:left="4140" w:firstLine="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firstLine="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firstLine="0"/>
      </w:pPr>
    </w:lvl>
    <w:lvl w:ilvl="8">
      <w:start w:val="1"/>
      <w:numFmt w:val="lowerRoman"/>
      <w:isLgl w:val="false"/>
      <w:suff w:val="tab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4"/>
    <w:next w:val="624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4"/>
    <w:next w:val="624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4"/>
    <w:next w:val="624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4"/>
    <w:next w:val="624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4"/>
    <w:next w:val="624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4"/>
    <w:next w:val="624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4"/>
    <w:next w:val="624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4"/>
    <w:next w:val="624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29"/>
    <w:link w:val="34"/>
    <w:uiPriority w:val="10"/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9"/>
    <w:link w:val="36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4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629"/>
    <w:link w:val="42"/>
    <w:uiPriority w:val="99"/>
  </w:style>
  <w:style w:type="paragraph" w:styleId="44">
    <w:name w:val="Footer"/>
    <w:basedOn w:val="624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29"/>
    <w:link w:val="44"/>
    <w:uiPriority w:val="99"/>
  </w:style>
  <w:style w:type="paragraph" w:styleId="46">
    <w:name w:val="Caption"/>
    <w:basedOn w:val="624"/>
    <w:next w:val="6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24"/>
    <w:next w:val="624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24"/>
    <w:next w:val="624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24"/>
    <w:next w:val="624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24"/>
    <w:next w:val="624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24"/>
    <w:next w:val="624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24"/>
    <w:next w:val="624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24"/>
    <w:next w:val="624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24"/>
    <w:next w:val="624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  <w:qFormat/>
  </w:style>
  <w:style w:type="paragraph" w:styleId="625" w:customStyle="1">
    <w:name w:val="ConsPlusNormal"/>
    <w:qFormat/>
    <w:pPr>
      <w:widowControl w:val="off"/>
      <w:spacing w:after="0" w:line="240" w:lineRule="auto"/>
    </w:pPr>
    <w:rPr>
      <w:rFonts w:ascii="Arial" w:hAnsi="Arial" w:eastAsia="Calibri" w:cs="Arial"/>
      <w:sz w:val="22"/>
      <w:szCs w:val="22"/>
    </w:rPr>
  </w:style>
  <w:style w:type="paragraph" w:styleId="626">
    <w:name w:val="List Paragraph"/>
    <w:basedOn w:val="624"/>
    <w:qFormat/>
    <w:pPr>
      <w:ind w:left="720"/>
      <w:contextualSpacing/>
    </w:pPr>
  </w:style>
  <w:style w:type="paragraph" w:styleId="627" w:customStyle="1">
    <w:name w:val="ConsPlusTitle"/>
    <w:qFormat/>
    <w:pPr>
      <w:widowControl w:val="off"/>
      <w:spacing w:after="0" w:line="240" w:lineRule="auto"/>
    </w:pPr>
    <w:rPr>
      <w:rFonts w:ascii="Calibri" w:hAnsi="Calibri" w:eastAsia="Calibri" w:cs="Calibri"/>
      <w:b/>
      <w:bCs/>
      <w:sz w:val="24"/>
      <w:szCs w:val="24"/>
    </w:rPr>
  </w:style>
  <w:style w:type="paragraph" w:styleId="628">
    <w:name w:val="Body Text"/>
    <w:basedOn w:val="624"/>
    <w:qFormat/>
    <w:pPr>
      <w:spacing w:after="0" w:line="240" w:lineRule="auto"/>
      <w:jc w:val="both"/>
    </w:pPr>
    <w:rPr>
      <w:rFonts w:ascii="Times New Roman" w:hAnsi="Times New Roman" w:eastAsia="Times New Roman" w:cs="Times New Roman"/>
      <w:szCs w:val="20"/>
    </w:rPr>
  </w:style>
  <w:style w:type="character" w:styleId="629" w:default="1">
    <w:name w:val="Default Paragraph Font"/>
  </w:style>
  <w:style w:type="character" w:styleId="630" w:customStyle="1">
    <w:name w:val="Основной текст Знак"/>
    <w:basedOn w:val="629"/>
    <w:rPr>
      <w:rFonts w:ascii="Times New Roman" w:hAnsi="Times New Roman" w:eastAsia="Times New Roman" w:cs="Times New Roman"/>
      <w:szCs w:val="20"/>
    </w:rPr>
  </w:style>
  <w:style w:type="table" w:styleId="631" w:default="1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32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33">
    <w:name w:val="Сетка таблицы"/>
    <w:basedOn w:val="632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05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asanova</dc:creator>
  <cp:keywords/>
  <dc:description/>
  <cp:lastModifiedBy>korepanov_aiu</cp:lastModifiedBy>
  <cp:revision>14</cp:revision>
  <dcterms:created xsi:type="dcterms:W3CDTF">2021-04-08T08:03:00Z</dcterms:created>
  <dcterms:modified xsi:type="dcterms:W3CDTF">2025-04-19T08:05:43Z</dcterms:modified>
</cp:coreProperties>
</file>