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76" w:right="876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Отчет о деятельности Общественного совета при Министерстве национальной политики Удмуртской Республики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876" w:right="876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  <w:t xml:space="preserve">за 2025год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ind w:left="0" w:right="0" w:firstLine="708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2025 году проведено 2 заседания: 10 апреля 2025 г.(место – МАУ ЦРК «Русский дом»); 10 июля 2025 г. (МБУК «Каракулинский районный дом культуры»).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Заседания Общественного совета проводятся в разных форматах: как в виде  отдельного тематического заседания, так и  в рамках проведения коллегий, Постоянно действующих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совещаний при министре национальной политики, Дней Миннаца в муниципальных образованиях, с участием руководителей национально-культурных объединений, религиозных организаций, работников Домов Дружбы народов и т.д. В програм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 заседаний Общественного совета зачастую предусматриваются краеведческие и туристические экскурсии, направленные на сохранение традиционных российских духовно-нравственных  ценностей и знакомство с родным краем. Данные форматы работы Общественного совета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способствуют более полному и глубокому погружению  членов совета в тему национальной политики.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Краткая информация о работе Общественного совета в 2025 году.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895"/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Члены Общественного совета принимали участие в обсуждении следующих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вопросов: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95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актуальная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ситуация в сфере межнациональных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 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обсуждение проекта «Поэтическая аллея»;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5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создани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общественно-государственной организации «Ассамблея народов России»;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17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тверждени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доклада об антимонопольном комплаенсе в Министерстве национальной политики Удмуртской Республики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17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Обсуждение патриаотических межнациональных проектов, посвященных 80-летию Победы в Велиуой Отечественной войне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сохранение и укрепление традиционных российских духовно-нравственных ценност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ей в рамках реализации Указа Президента России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основные направления реализации Концепции государственной языковой политики Российской Федерации, утвержденной Распоряжением Правительства РФ от 17.06.2024 г. № 1481-р.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механизмы социокультурной адаптации мигрантов.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17"/>
        <w:ind w:left="57" w:right="57" w:firstLine="651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Кроме того, ч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лены Общественного совета приняли участие 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следующих мероприятиях Министерства национальной политики Удмуртской Республики: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914"/>
        <w:numPr>
          <w:ilvl w:val="0"/>
          <w:numId w:val="24"/>
        </w:numPr>
        <w:ind w:left="0" w:right="0" w:firstLine="850"/>
        <w:jc w:val="both"/>
        <w:spacing w:before="0" w:beforeAutospacing="0"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b/>
          <w:color w:val="0f1115"/>
          <w:sz w:val="26"/>
          <w:szCs w:val="26"/>
        </w:rPr>
        <w:t xml:space="preserve">тоговая коллегия Миннаца УР</w:t>
      </w:r>
      <w:r>
        <w:rPr>
          <w:rFonts w:ascii="Times New Roman" w:hAnsi="Times New Roman" w:eastAsia="Times New Roman" w:cs="Times New Roman"/>
          <w:b/>
          <w:color w:val="0f1115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f1115"/>
          <w:sz w:val="26"/>
          <w:szCs w:val="26"/>
        </w:rPr>
        <w:t xml:space="preserve"> посвящённая результатам работы за 2024 год и постановке задач на 2025 год (27 февраля 2025 г., БУ УР «Дом Дружбы народов»);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14"/>
        <w:numPr>
          <w:ilvl w:val="0"/>
          <w:numId w:val="24"/>
        </w:numPr>
        <w:ind w:left="0" w:right="0" w:firstLine="850"/>
        <w:jc w:val="both"/>
        <w:spacing w:before="0" w:beforeAutospacing="0"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6"/>
          <w:szCs w:val="26"/>
        </w:rPr>
        <w:t xml:space="preserve">Совещание с общественными советами при органах власти УР. </w:t>
      </w:r>
      <w:r>
        <w:rPr>
          <w:rFonts w:ascii="Times New Roman" w:hAnsi="Times New Roman" w:eastAsia="Times New Roman" w:cs="Times New Roman"/>
          <w:color w:val="0f1115"/>
          <w:sz w:val="26"/>
          <w:szCs w:val="26"/>
        </w:rPr>
        <w:t xml:space="preserve"> Председатель Общественного совета Сергей Самонович Фефилов принял участие в совещании, организованном Общественной палатой и Администрацией Главы и Правительства Удмуртской Республики (26 марта 2025 г., Администрация Главы и Правительства УР);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14"/>
        <w:numPr>
          <w:ilvl w:val="0"/>
          <w:numId w:val="24"/>
        </w:numPr>
        <w:ind w:left="0" w:right="0" w:firstLine="850"/>
        <w:jc w:val="both"/>
        <w:spacing w:before="0" w:beforeAutospacing="0" w:after="0" w:afterAutospacing="0" w:line="276" w:lineRule="auto"/>
        <w:tabs>
          <w:tab w:val="left" w:pos="850" w:leader="none"/>
        </w:tabs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6"/>
          <w:szCs w:val="26"/>
        </w:rPr>
        <w:t xml:space="preserve"> Расширенное выездное заседание Комитета Государственной Думы по делам национальностей Федерального Собрания Российской Федерации на тему </w:t>
      </w:r>
      <w:r>
        <w:rPr>
          <w:b/>
          <w:bCs/>
          <w:sz w:val="26"/>
          <w:szCs w:val="26"/>
        </w:rPr>
        <w:t xml:space="preserve">«Реализация государственной национальной политики: региональный опыт»</w:t>
      </w:r>
      <w:r>
        <w:rPr>
          <w:sz w:val="26"/>
          <w:szCs w:val="26"/>
        </w:rPr>
        <w:t xml:space="preserve">, в котором участие приняли члены Комитета Государственной Думы под председательством Иванова В.В., представители о</w:t>
      </w:r>
      <w:r>
        <w:rPr>
          <w:sz w:val="26"/>
          <w:szCs w:val="26"/>
        </w:rPr>
        <w:t xml:space="preserve">рганов власти новых регионов России, депутаты Государственного Совета Удмуртской Республики, представители исполнительных органов Удмуртской Республики и органов местного самоуправления в Удмуртской Республике, представители институтов гражданского обществ</w:t>
      </w:r>
      <w:r>
        <w:rPr>
          <w:sz w:val="26"/>
          <w:szCs w:val="26"/>
        </w:rPr>
        <w:t xml:space="preserve">а, научных учреждений, СМИ</w:t>
      </w:r>
      <w:r>
        <w:rPr>
          <w:rFonts w:ascii="Times New Roman" w:hAnsi="Times New Roman" w:eastAsia="Times New Roman" w:cs="Times New Roman"/>
          <w:color w:val="0f1115"/>
          <w:sz w:val="26"/>
          <w:szCs w:val="26"/>
        </w:rPr>
        <w:t xml:space="preserve"> (16 октября 2025 года, БУ УР «Дом Дружбы народов»).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14"/>
        <w:numPr>
          <w:ilvl w:val="0"/>
          <w:numId w:val="24"/>
        </w:numPr>
        <w:ind w:left="0" w:right="0" w:firstLine="850"/>
        <w:jc w:val="both"/>
        <w:spacing w:before="0" w:beforeAutospacing="0" w:after="0" w:afterAutospacing="0" w:line="276" w:lineRule="auto"/>
        <w:tabs>
          <w:tab w:val="left" w:pos="850" w:leader="none"/>
        </w:tabs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6"/>
          <w:szCs w:val="26"/>
        </w:rPr>
        <w:t xml:space="preserve"> Межрегиональный форум муниципальных образований «Мир в диалоге», </w:t>
      </w:r>
      <w:r>
        <w:rPr>
          <w:rFonts w:ascii="Times New Roman" w:hAnsi="Times New Roman" w:eastAsia="Times New Roman" w:cs="Times New Roman"/>
          <w:color w:val="0f1115"/>
          <w:sz w:val="26"/>
          <w:szCs w:val="26"/>
        </w:rPr>
        <w:t xml:space="preserve">где обсуждались актуальные вопросы реализации Стратегии государственной национальной политики РФ до 2025 года (15 октября 2025 года, БУ УР «Дом Дружбы народов») </w:t>
      </w:r>
      <w:r>
        <w:rPr>
          <w:rFonts w:ascii="Times New Roman" w:hAnsi="Times New Roman" w:eastAsia="Times New Roman" w:cs="Times New Roman"/>
          <w:color w:val="0f1115"/>
          <w:sz w:val="26"/>
          <w:szCs w:val="26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Формы общественного контроля, которые применялись в работе Общественного совета в 2025 г.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В соответствии со ст.9 Закона № 118-РЗ 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бщественный контроль Общественным советом осуществлялся  в основном  в форме  общественной экспертизы нормативных правовых актов Удмуртской Республики в сфере национальной политики. Также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реализуетс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 такая практика взаимодействия институтов гражданского общества и министерства, как участие в рассмотрении и обсуждении итоговых решений коллегии министерства по актуальным направлениям Стратегии государственной национальной политики Российской Федерации.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Итоги и результаты проведенного общественного контроля.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В 2025 году по 5 проектам нормативно-правовых актов, разработанных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угиной Н.Г.: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проект постановления Правительства Удмуртской Республики «Об утверждении Положения о порядке предоставления из бюджета Удмуртской Республики гранта в форме субсидии федеральному государственному бюджетному образовательному учреждению высшего образования «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Удмуртский государственный университет» на реализацию дополнительных профессиональных программ по подготовке кадров, специализирующихся на внедрении IT-технологий в сферу удмуртской филологии»;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проект постановления Правительства Удмуртской Республики «Об утверждении Порядка предоставления грантов в форме субсидий на реализацию молодежных проектов в сфере государственной национальной политики»;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е государственных языков Удмуртской Республики и иных языков народов Удмуртской Республики»;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10 января 2025 года № 1 «Об утверждении Порядка предоставления субсидий социально ориентированным некоммерческим организа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циям на реализацию проектов, мероприятий и участие в межрегиональных мероприятиях в сфере государственной национальной политики».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проекта постановления Правительства Удмуртской Республики «О внесении изменения в постановление Правительства Удмуртской Республики от 30.11.2023 года № 778 «Об утверждении государственной программы Удмуртской Республики «Этносоциальное развитие и гармони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зация межэтнических отношений».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В представленных актах коррупциногенных факторов не выявлено.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</w:r>
    </w:p>
    <w:p>
      <w:pPr>
        <w:pStyle w:val="895"/>
        <w:jc w:val="both"/>
        <w:spacing w:before="0" w:beforeAutospacing="0" w:after="0" w:afterAutospacing="0" w:line="276" w:lineRule="auto"/>
        <w:widowControl w:val="off"/>
        <w:tabs>
          <w:tab w:val="left" w:pos="720" w:leader="none"/>
        </w:tabs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ab/>
        <w:t xml:space="preserve">Дополнительная информация.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Законом Удмуртской Республики от 09.12.2024 № 69-РЗ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"О внесении изменений в статью 5 Закона Удмуртской Республики "Об общественном контроле в Удмуртской Республике"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(далее – Закон УР № 69-РЗ) 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становлено, что правом выдвижения кандидатур в члены общественных советов при исполнительных органах Удмуртской Республики обладает также Общественная палата Удмуртской Республики. Приведены формы участия Общественной палаты Удмуртской Республики в формир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овании указанных общественных советов. Уточнен порядок формирования общественных советов при исполнительных органах Удмуртской Республики.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В  целях приведения ведомственного акта об Общественном совете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в соответствие с нормами Закона  УР № 118-РЗ в  редакции Закона УР № 69-РЗ приказом Миннац УР от 4 февраля 2025 года № 01-02/010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внесены изменения в Положение об Общественном совете в части, касающиеся порядка  его формирования.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Положения ч.5 и ч.6 Закона УР № 118-РЗ (в ред.Закона УР № 69-РЗ) применяются к правоотношениям, возникшим в связи с формированием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 и деятельностью общественных советов при исполнительных органах Удмуртской Республики, формирование которых будет осуществляться после вступления в силу Закона УР № 69-РЗ. С учетом того, что согласно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Положению Общественный совет формируется сроком на 4 года, формирование нового состава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 будет осуществлено не позднее 26 мая 2026 года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в соответствии с установленными требованиями.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В целях информационного обеспечения деятельности Общественного совета, как субъекта общественного контроля в Удмуртской Республике, в рамках реализации статьи 8 Закона УР № 118-РЗ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используется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официальный сайт министерства в сети "Интернет" (Раздел «Координационные и совещательные органы», подраздел «Общественный совет при Министерстве национальной политик», ссылка </w:t>
      </w:r>
      <w:hyperlink r:id="rId10" w:tooltip="https://minnac.ru/ministerstvo/koordinaczionnye-i-soveshhatelnye-organy/obshhestvennyj-sovet/" w:history="1">
        <w:r>
          <w:rPr>
            <w:rStyle w:val="905"/>
            <w:rFonts w:ascii="Times New Roman" w:hAnsi="Times New Roman" w:eastAsia="Times New Roman" w:cs="Times New Roman"/>
            <w:b w:val="0"/>
            <w:bCs w:val="0"/>
            <w:color w:val="000000"/>
            <w:sz w:val="26"/>
            <w:szCs w:val="26"/>
            <w:highlight w:val="white"/>
            <w:u w:val="none"/>
          </w:rPr>
          <w:t xml:space="preserve">https://minnac.ru/ministerstvo/koordinaczionnye-i-soveshhatelnye-organy/obshhestvennyj-sovet/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0" w:bottom="851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5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7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89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1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3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05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77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499" w:hanging="180"/>
      </w:pPr>
      <w:rPr>
        <w:rFonts w:cs="Times New Roman"/>
      </w:r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  <w:tabs>
          <w:tab w:val="num" w:pos="20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  <w:tabs>
          <w:tab w:val="num" w:pos="27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  <w:tabs>
          <w:tab w:val="num" w:pos="35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  <w:tabs>
          <w:tab w:val="num" w:pos="42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  <w:tabs>
          <w:tab w:val="num" w:pos="49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  <w:tabs>
          <w:tab w:val="num" w:pos="56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  <w:tabs>
          <w:tab w:val="num" w:pos="63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  <w:tabs>
          <w:tab w:val="num" w:pos="7113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80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82" w:hanging="16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85" w:hanging="16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88" w:hanging="16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091" w:hanging="16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594" w:hanging="16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097" w:hanging="16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600" w:hanging="16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102" w:hanging="16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11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23" w:hanging="15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27" w:hanging="15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831" w:hanging="15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335" w:hanging="15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839" w:hanging="15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343" w:hanging="15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847" w:hanging="15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351" w:hanging="15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b/>
        <w:color w:val="0f1115"/>
        <w:sz w:val="26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5"/>
    <w:next w:val="895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5"/>
    <w:next w:val="8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5"/>
    <w:next w:val="895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rPr>
      <w:sz w:val="24"/>
      <w:szCs w:val="24"/>
      <w:lang w:val="ru-RU" w:eastAsia="ru-RU" w:bidi="ar-SA"/>
    </w:rPr>
  </w:style>
  <w:style w:type="paragraph" w:styleId="896">
    <w:name w:val="Заголовок 4"/>
    <w:basedOn w:val="895"/>
    <w:next w:val="896"/>
    <w:link w:val="918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897">
    <w:name w:val="Основной шрифт абзаца"/>
    <w:next w:val="897"/>
    <w:link w:val="895"/>
    <w:semiHidden/>
  </w:style>
  <w:style w:type="table" w:styleId="898">
    <w:name w:val="Обычная таблица"/>
    <w:next w:val="898"/>
    <w:link w:val="895"/>
    <w:semiHidden/>
    <w:tblPr/>
  </w:style>
  <w:style w:type="numbering" w:styleId="899">
    <w:name w:val="Нет списка"/>
    <w:next w:val="899"/>
    <w:link w:val="895"/>
    <w:semiHidden/>
  </w:style>
  <w:style w:type="paragraph" w:styleId="900">
    <w:name w:val="Текст выноски"/>
    <w:basedOn w:val="895"/>
    <w:next w:val="900"/>
    <w:link w:val="895"/>
    <w:semiHidden/>
    <w:rPr>
      <w:rFonts w:ascii="Tahoma" w:hAnsi="Tahoma" w:cs="Tahoma"/>
      <w:sz w:val="16"/>
      <w:szCs w:val="16"/>
    </w:rPr>
  </w:style>
  <w:style w:type="table" w:styleId="901">
    <w:name w:val="Сетка таблицы"/>
    <w:basedOn w:val="898"/>
    <w:next w:val="901"/>
    <w:link w:val="895"/>
    <w:tblPr/>
  </w:style>
  <w:style w:type="paragraph" w:styleId="902">
    <w:name w:val="Верхний колонтитул"/>
    <w:basedOn w:val="895"/>
    <w:next w:val="902"/>
    <w:link w:val="895"/>
    <w:pPr>
      <w:tabs>
        <w:tab w:val="center" w:pos="4677" w:leader="none"/>
        <w:tab w:val="right" w:pos="9355" w:leader="none"/>
      </w:tabs>
    </w:pPr>
  </w:style>
  <w:style w:type="paragraph" w:styleId="903">
    <w:name w:val="Нижний колонтитул"/>
    <w:basedOn w:val="895"/>
    <w:next w:val="903"/>
    <w:link w:val="895"/>
    <w:pPr>
      <w:tabs>
        <w:tab w:val="center" w:pos="4677" w:leader="none"/>
        <w:tab w:val="right" w:pos="9355" w:leader="none"/>
      </w:tabs>
    </w:pPr>
  </w:style>
  <w:style w:type="paragraph" w:styleId="904">
    <w:name w:val="Основной текст с отступом"/>
    <w:basedOn w:val="895"/>
    <w:next w:val="904"/>
    <w:link w:val="895"/>
    <w:pPr>
      <w:ind w:firstLine="720"/>
      <w:jc w:val="both"/>
    </w:pPr>
    <w:rPr>
      <w:sz w:val="28"/>
    </w:rPr>
  </w:style>
  <w:style w:type="character" w:styleId="905">
    <w:name w:val="Гиперссылка"/>
    <w:next w:val="905"/>
    <w:link w:val="895"/>
    <w:rPr>
      <w:color w:val="0000ff"/>
      <w:u w:val="single"/>
    </w:rPr>
  </w:style>
  <w:style w:type="paragraph" w:styleId="906">
    <w:name w:val="Обычный (веб)"/>
    <w:basedOn w:val="895"/>
    <w:next w:val="906"/>
    <w:link w:val="895"/>
    <w:uiPriority w:val="99"/>
    <w:pPr>
      <w:spacing w:before="100" w:beforeAutospacing="1" w:after="100" w:afterAutospacing="1"/>
    </w:pPr>
  </w:style>
  <w:style w:type="paragraph" w:styleId="907">
    <w:name w:val="Без интервала"/>
    <w:next w:val="907"/>
    <w:link w:val="895"/>
    <w:qFormat/>
    <w:rPr>
      <w:rFonts w:ascii="Calibri" w:hAnsi="Calibri"/>
      <w:sz w:val="22"/>
      <w:szCs w:val="22"/>
      <w:lang w:val="ru-RU" w:eastAsia="ru-RU" w:bidi="ar-SA"/>
    </w:rPr>
  </w:style>
  <w:style w:type="character" w:styleId="908">
    <w:name w:val="Слабое выделение"/>
    <w:next w:val="908"/>
    <w:link w:val="895"/>
    <w:uiPriority w:val="19"/>
    <w:qFormat/>
    <w:rPr>
      <w:i/>
      <w:iCs/>
    </w:rPr>
  </w:style>
  <w:style w:type="paragraph" w:styleId="909">
    <w:name w:val="ConsPlusNormal"/>
    <w:next w:val="909"/>
    <w:link w:val="89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10">
    <w:name w:val="Строгий"/>
    <w:next w:val="910"/>
    <w:link w:val="895"/>
    <w:uiPriority w:val="22"/>
    <w:qFormat/>
    <w:rPr>
      <w:b/>
      <w:bCs/>
    </w:rPr>
  </w:style>
  <w:style w:type="paragraph" w:styleId="911">
    <w:name w:val="Абзац списка"/>
    <w:basedOn w:val="895"/>
    <w:next w:val="911"/>
    <w:link w:val="895"/>
    <w:uiPriority w:val="34"/>
    <w:qFormat/>
    <w:pPr>
      <w:contextualSpacing/>
      <w:ind w:left="720"/>
    </w:pPr>
  </w:style>
  <w:style w:type="character" w:styleId="912">
    <w:name w:val="Font Style64"/>
    <w:next w:val="912"/>
    <w:link w:val="895"/>
    <w:rPr>
      <w:rFonts w:ascii="Times New Roman" w:hAnsi="Times New Roman" w:cs="Times New Roman"/>
      <w:sz w:val="26"/>
      <w:szCs w:val="26"/>
    </w:rPr>
  </w:style>
  <w:style w:type="paragraph" w:styleId="913">
    <w:name w:val="ConsPlusTitle"/>
    <w:next w:val="913"/>
    <w:link w:val="895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4">
    <w:name w:val="List Paragraph"/>
    <w:basedOn w:val="895"/>
    <w:next w:val="914"/>
    <w:link w:val="895"/>
    <w:pPr>
      <w:contextualSpacing/>
      <w:ind w:left="720"/>
    </w:pPr>
    <w:rPr>
      <w:rFonts w:eastAsia="Calibri"/>
    </w:rPr>
  </w:style>
  <w:style w:type="character" w:styleId="915">
    <w:name w:val="sender__email--20l3t"/>
    <w:basedOn w:val="897"/>
    <w:next w:val="915"/>
    <w:link w:val="895"/>
  </w:style>
  <w:style w:type="table" w:styleId="916">
    <w:name w:val="Table Normal"/>
    <w:next w:val="916"/>
    <w:link w:val="895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917">
    <w:name w:val="Table Paragraph"/>
    <w:basedOn w:val="895"/>
    <w:next w:val="917"/>
    <w:link w:val="895"/>
    <w:uiPriority w:val="1"/>
    <w:qFormat/>
    <w:pPr>
      <w:ind w:left="61"/>
      <w:widowControl w:val="off"/>
    </w:pPr>
    <w:rPr>
      <w:sz w:val="22"/>
      <w:szCs w:val="22"/>
      <w:lang w:eastAsia="en-US"/>
    </w:rPr>
  </w:style>
  <w:style w:type="character" w:styleId="918">
    <w:name w:val="Заголовок 4 Знак"/>
    <w:next w:val="918"/>
    <w:link w:val="896"/>
    <w:uiPriority w:val="9"/>
    <w:rPr>
      <w:b/>
      <w:bCs/>
      <w:sz w:val="24"/>
      <w:szCs w:val="24"/>
    </w:rPr>
  </w:style>
  <w:style w:type="character" w:styleId="919">
    <w:name w:val="tm9"/>
    <w:next w:val="919"/>
    <w:link w:val="895"/>
  </w:style>
  <w:style w:type="character" w:styleId="920">
    <w:name w:val="tm7"/>
    <w:next w:val="920"/>
    <w:link w:val="895"/>
  </w:style>
  <w:style w:type="character" w:styleId="921">
    <w:name w:val="Просмотренная гиперссылка"/>
    <w:basedOn w:val="897"/>
    <w:next w:val="921"/>
    <w:link w:val="895"/>
    <w:rPr>
      <w:color w:val="800080"/>
      <w:u w:val="single"/>
    </w:rPr>
  </w:style>
  <w:style w:type="paragraph" w:styleId="922">
    <w:name w:val="textbody"/>
    <w:basedOn w:val="895"/>
    <w:next w:val="922"/>
    <w:link w:val="895"/>
    <w:pPr>
      <w:spacing w:before="100" w:beforeAutospacing="1" w:after="100" w:afterAutospacing="1"/>
    </w:p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  <w:style w:type="paragraph" w:styleId="926" w:customStyle="1">
    <w:name w:val="Body Text"/>
    <w:basedOn w:val="853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minnac.ru/ministerstvo/koordinaczionnye-i-soveshhatelnye-organy/obshhestvennyj-sove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*</dc:creator>
  <cp:lastModifiedBy>basharova_gr</cp:lastModifiedBy>
  <cp:revision>51</cp:revision>
  <dcterms:created xsi:type="dcterms:W3CDTF">2023-02-27T11:12:00Z</dcterms:created>
  <dcterms:modified xsi:type="dcterms:W3CDTF">2026-01-23T08:20:23Z</dcterms:modified>
  <cp:version>786432</cp:version>
</cp:coreProperties>
</file>