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Отчет</w:t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по результатам анализа сведений о доходах, об имуществе и обязательствах имущественного характера государственных гражданских служащих Министерства национальной политики Удмуртской Республики и членов их семей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f1115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 за отчетный период (2024 год)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Проведение анализа осуществлено в соответствии с положениями статьи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13.3 Федерального закона от 25 декабря 2008 года № 273-ФЗ «О противодействии коррупции»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 Указа Президента РФ от 18.05.2009 № 559 «О представлении гражданами, претендующими на замещение должностей государственн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ой службы, и государственными служащими сведений о доходах, расходах, об имуществе и обязательствах имущественного характера», а также внутренних нормативных актов Министерства.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</w:rPr>
        <w:t xml:space="preserve">Цель анализа:</w:t>
      </w:r>
      <w:r>
        <w:rPr>
          <w:rFonts w:ascii="Times New Roman" w:hAnsi="Times New Roman" w:eastAsia="Times New Roman" w:cs="Times New Roman"/>
          <w:b/>
          <w:color w:val="0f11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Предупреждение и выявление фактов коррупции и иных правонарушений, конфликта интересов, проверка достоверности и полноты представленных сведений, формирование статистических данных.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В установленные сроки сведения за 2024 год представили 13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 государственные гражданские служащие Министерства, из них 3 человека вновь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назначены на должности государственной гражданской службы Удмуртской Республики в Министерство национальной политики Удмуртской Республики. 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/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eastAsia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f1115"/>
          <w:sz w:val="28"/>
          <w:szCs w:val="28"/>
        </w:rPr>
        <w:t xml:space="preserve">Результаты анализа: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Сведения предоставлены в полном объеме и в установленные сроки всеми сотрудниками. 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Системных признаков несоответствия расходов декларируемым доходам на основании представленных сведений не обнаружено. Все задекларированные источники доходов являются легальными.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eastAsia="Times New Roman" w:cs="Times New Roman"/>
          <w:color w:val="0f1115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Анализ не выявил признаков коррупционных правонарушений, связанных с незаконным обогащением или сокрытием информации у государственных гражданских служащих Министерства.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ind w:left="0" w:right="0" w:firstLine="708"/>
        <w:jc w:val="both"/>
        <w:spacing w:before="0" w:beforeAutospacing="0" w:after="0" w:afterAutospacing="0"/>
        <w:shd w:val="clear" w:color="ffffff" w:fill="ffffff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  <w:t xml:space="preserve">Руководителям структурных подразделений продолжить проведение разъяснительной работы с сотрудниками по вопросам корректного заполнения справок.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Составил: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ведущий специалист-эксперт сектора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финансовой и кадровой работы                                                       Шараева Я.М.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Roboto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Roboto" w:hAnsi="Roboto" w:eastAsia="Roboto" w:cs="Roboto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0"/>
    <w:next w:val="850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0"/>
    <w:next w:val="850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8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8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6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7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8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9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0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1">
    <w:name w:val="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 &amp; Lined - Accent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Bordered &amp; Lined - Accent 2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Bordered &amp; Lined - Accent 3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Bordered &amp; Lined - Accent 4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Bordered &amp; Lined - Accent 5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Bordered &amp; Lined - Accent 6"/>
    <w:basedOn w:val="8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</w:style>
  <w:style w:type="table" w:styleId="8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>
    <w:name w:val="No Spacing"/>
    <w:basedOn w:val="850"/>
    <w:uiPriority w:val="1"/>
    <w:qFormat/>
    <w:pPr>
      <w:spacing w:after="0" w:line="240" w:lineRule="auto"/>
    </w:pPr>
  </w:style>
  <w:style w:type="paragraph" w:styleId="854">
    <w:name w:val="List Paragraph"/>
    <w:basedOn w:val="850"/>
    <w:uiPriority w:val="34"/>
    <w:qFormat/>
    <w:pPr>
      <w:contextualSpacing/>
      <w:ind w:left="720"/>
    </w:pPr>
  </w:style>
  <w:style w:type="character" w:styleId="85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basharova_gr</cp:lastModifiedBy>
  <cp:revision>5</cp:revision>
  <dcterms:modified xsi:type="dcterms:W3CDTF">2026-01-19T11:13:40Z</dcterms:modified>
</cp:coreProperties>
</file>