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59"/>
        <w:jc w:val="center"/>
        <w:spacing w:line="276" w:lineRule="auto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Доклад министра национальной политики Удмуртской Республики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jc w:val="center"/>
        <w:spacing w:line="276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 Петрова Э.С.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</w:p>
    <w:p>
      <w:pPr>
        <w:jc w:val="center"/>
        <w:spacing w:line="276" w:lineRule="auto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Об итогах работы Министерства национальной политики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Удмуртской Республики в 20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25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 году и задачах на 20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26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 год – Год единства народов России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ind w:firstLine="708"/>
        <w:jc w:val="both"/>
        <w:spacing w:line="276" w:lineRule="auto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76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2025 год был особым для всех годом! Это был Год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героев! Безусловно,  важная тема героев не должна ограничиваться только этим периодом.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республике продолжается работа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интеграции лучших практик Года героев в долгосрочные программы и общественные инициативы.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567"/>
        <w:jc w:val="both"/>
        <w:spacing w:after="0" w:afterAutospacing="0" w:line="276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yellow"/>
          <w:u w:val="singl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 2025 году республика отметила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105-летие  государственности Удмуртии.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ind w:firstLine="567"/>
        <w:jc w:val="both"/>
        <w:spacing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 прошедшем году мы чествовали нашего почетного юбиляра Валентина Кузьмича Тубылова. Старейшине удмуртской государственной политики исполнилось 90 лет.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firstLine="567"/>
        <w:jc w:val="both"/>
        <w:spacing w:after="0" w:afterAutospacing="0" w:line="276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30 летний юбилей отметила Республиканская термино-орфографическая комиссия.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567"/>
        <w:jc w:val="both"/>
        <w:spacing w:after="0" w:afterAutospacing="0" w:line="276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35 –летний рубеж работы перешло бесермянское общество.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Кстати, в этом году  35 лет -  Обществу русской культуры и Ассоциации «Удмурт Кенеш».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ind w:firstLine="567"/>
        <w:jc w:val="both"/>
        <w:spacing w:after="0" w:afterAutospacing="0" w:line="276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ab/>
        <w:t xml:space="preserve">В 2025 году фотография коллектива Дома Дружбы народов занесена на Доску Почета Удмуртской Республики.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0"/>
        <w:jc w:val="both"/>
        <w:spacing w:line="276" w:lineRule="auto"/>
        <w:widowControl w:val="off"/>
        <w:rPr>
          <w:rFonts w:ascii="Times New Roman" w:hAnsi="Times New Roman" w:cs="Times New Roman"/>
          <w:b w:val="0"/>
          <w:bCs w:val="0"/>
          <w:i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4 ноября в Кремле в День народного единства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были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вручены государственные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премии Президента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страны за укрепление единства российской нации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нашим коллегам из Миннаца Павлу Орлову и Анне Габдуллиной. Этот коллектив является автором просветительской акции «Большой этнографический диктант»,  которая проходит сейчас по всей стране и за рубежом.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"/>
        </w:rPr>
        <w:t xml:space="preserve">В 2025 году у   диктанта  был юбилей – ему исполнилось 10 лет.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 Год защитника Отечества 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рамках Государственного приёма, посвящённого Дню народного единства и 105-летию Удмуртии, Глава региона Александр Бречалов вручил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Государственную  премию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авторам патриотического  проекта </w:t>
      </w:r>
      <w:hyperlink r:id="rId11" w:tooltip="https://vk.com/club174257223" w:history="1">
        <w:r>
          <w:rPr>
            <w:rStyle w:val="1053"/>
            <w:rFonts w:ascii="Times New Roman" w:hAnsi="Times New Roman" w:eastAsia="Times New Roman" w:cs="Times New Roman"/>
            <w:b w:val="0"/>
            <w:bCs w:val="0"/>
            <w:color w:val="auto"/>
            <w:sz w:val="28"/>
            <w:szCs w:val="28"/>
            <w:highlight w:val="white"/>
            <w:u w:val="none"/>
          </w:rPr>
          <w:t xml:space="preserve">«Герои народа — герои страны»</w:t>
        </w:r>
      </w:hyperlink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Э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ч Гольдин)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Председатель Ижевского отделения Общества бесермянской культуры Алексей Караваев стал автором проекта «Герои удмуртской земли» об уроженцах Удмуртии, сражавшихся в годы Великой Отечественной войны,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поддержанного Президентским фондом культурных инициатив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празднованию юб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илея Победы в рамках программы "Родина - значит вмес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те!" в Доме Дружбы народов вышла новая настольная игра, созданная детьми и педагогами.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567"/>
        <w:jc w:val="both"/>
        <w:spacing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 октябре в городе Казань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уникальный проект  Дома Дружбы народов «Блог-тур «Маршрут построен! Удмуртия многонациональная»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занял 1 место во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Всероссийском журналистском конкурсе «Многоликая Россия» в номинации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«Лучший проект в цифровых медиа, посвященный межкультурному диалогу».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firstLine="708"/>
        <w:jc w:val="both"/>
        <w:spacing w:after="0" w:afterAutospacing="0"/>
        <w:shd w:val="clear" w:color="000000" w:fill="ffffff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10 книг </w:t>
      </w:r>
      <w:r>
        <w:rPr>
          <w:rFonts w:ascii="Times New Roman" w:hAnsi="Times New Roman"/>
          <w:color w:val="000000"/>
          <w:sz w:val="28"/>
          <w:szCs w:val="28"/>
        </w:rPr>
        <w:t xml:space="preserve">молодых удмуртских авторов издано в рамках 105-летия государственности Удмуртии  впервые за многие годы.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567"/>
        <w:jc w:val="both"/>
        <w:spacing w:after="0" w:afterAutospacing="0" w:line="276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При поддержке Миннаца в 2025 году вышла в свет книга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Анатолия Леонидовича Иголкина -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заместителя председателя Чувашского национального центра 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«Наши земляки в Удмуртском крае» с уникальными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историями чувашей, которые жили и работали в Удмуртии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15" w:right="15" w:firstLine="693"/>
        <w:jc w:val="both"/>
        <w:spacing w:before="0" w:after="0" w:line="276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 проекта журналистов из Удмуртии,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приуроченных к Году защитника Отечества,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тали победителями Всероссийского конкурса «СМИротворец-2025»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540"/>
        <w:jc w:val="both"/>
        <w:spacing w:after="0" w:afterAutospacing="0" w:line="276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Президентом России в 2025 году принят целый ряд решений по укреплению национальной политики, которая 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тановится одним из ключевых факторов обеспечения независимости и безопасности государства.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line="276" w:lineRule="auto"/>
        <w:widowControl w:val="o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И мой доклад об итогах нашей совместной работы в 2025 году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u w:val="single"/>
        </w:rPr>
        <w:t xml:space="preserve">сегодня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будет выстроен в контексте принятых решений Президента.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line="276" w:lineRule="auto"/>
        <w:widowControl w:val="off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Миграция.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line="276" w:lineRule="auto"/>
        <w:widowControl w:val="o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 2025 году Президентом России была утверждена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Концепция по миграционной политике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на новый период до 2030 года.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Г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лавным принципом концепции является ставка на собственное население.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Мигранты же только дополнительный ресурс для экономи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ки и достижения национальных целей развития, трудовые ресурсы в сферах, где людей объективно не хватает.  Строить и развивать Россию будут в п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ервую очередь россияне для будущих поколений многонациональной и поликонфессиональной России на основе наших духовно-нравственных ценностей.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59"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результатам социологического исследования, проводимого ежегодно по заказу Миннаца, больше половины респондентов из Удмуртии, почти 70%, в 2025 году при взаимодействии с мигрантами не испытывали негативного отношения и  опасений.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76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Для создания бесконфликтного пространства в Удмуртской Респ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ублике через этнокультурное просвещение о национальных традициях и культуре в 2025 году с участием высших учебных заведений: УдГУ, ИжГТУ, ИГМА, Короленковского университета, при активной позиции национально-культурных объединений, при поддержке работников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Национальной библиотеки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под руководством Тенсиной Татьяны Владимировны мы продолжили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проведение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работы по социальной и культу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рной адаптации и интеграции разных категорий иностранных граждан, которые стали частью нашего общества. Мы вовлекаем иностранных студентов в наши этнокультурные и межнациональные спортивные мероприятия. Встречаемся с работодателями 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ностранных трудовых мигрантов.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567"/>
        <w:jc w:val="both"/>
        <w:spacing w:line="276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Ведется работа по правовому просвещению иностранных граждан в вопросах миграционного и противоэкстремистского законодательства.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Для мигрантов разработаны адаптационные курсы и памятки о правилах поведения.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Вопросы адаптации мигрантов только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прошедшем году 6 раз заслушивались на заседаниях Комиссии по миграционной политике при Правительстве Удмуртской Республики.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0"/>
        <w:jc w:val="both"/>
        <w:spacing w:line="276" w:lineRule="auto"/>
        <w:widowControl w:val="off"/>
        <w:rPr>
          <w:rFonts w:ascii="Times New Roman" w:hAnsi="Times New Roman" w:cs="Times New Roman"/>
          <w:b/>
          <w:bCs/>
          <w:i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       В Доме Дружбы народов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при финансо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вой поддержке регионального отделения общественно-государственной Ассамблеи народов России продолжил свою реализацию в новом сезоне проект «Можем-поможем. Семейный центр адаптации мигрантов». Это площадка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по адаптации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российском обществе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узбекских, азербайджанских, армянских, таджикских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семей мигрантов с детьми путём освоения русского языка, приобретения навыков межкультурного общения и знакомства с местной культурой. </w:t>
      </w:r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line="276" w:lineRule="auto"/>
        <w:widowControl w:val="off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КМН</w:t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 2025 году Президентом России был учрежден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День коренных малочисленных народов Российской Федерации.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 Для наших бесермян это особенно важно. В нашем региональном законе 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2022 году на законодательном уровне в качестве официальной праздничной даты  утверждён День бесермянского языка и письменности - 21 октября. 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ind w:left="0" w:right="0" w:firstLine="708"/>
        <w:jc w:val="both"/>
        <w:spacing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апреле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да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с 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ным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аилом Минмуллаевичем мы планируем доработать и обсудить проект межведомственного плана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по социально-экономическому и этнокультурному развитию населенных пунктов с компактным проживанием бесермян.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ind w:left="0" w:right="0" w:firstLine="708"/>
        <w:jc w:val="both"/>
        <w:spacing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э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при поддержке регионального и муниципальных бюджетов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о, а не как раньше 1 раз в 2 года.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 2026 году Удмуртский институт истории, языка и лит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ературы под руководством Игоря Леонидовича Поздеева совместно с бесермянским обществом запланировал к изданию книгу с историко-этнографическими очерками о бесермянах. 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        Также институт  примет участие в наполнении массива бесермянского электронного перевод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чи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ка дополнительным словарным запасом, особенно,  историческими употреблениями. В мультимедийном бесермянском корпусе, который разработан специалистами МГУ с участием активистов из бесермянского общества,  в настоящее время уже содержится более 5 тысяч слов.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Стратегия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Последние несколько лет идет кардинальное обновл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ние системы управления в области государственной национальной политики. Ключевым документом, который обеспечивает единство подходов в управлении, являются Стратегия государственной национальной политики и государственные программы.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25 ноября Президент утвердил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обновленную Стратегию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государственной национальной политики на новый период до 2036 года.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Прежде всего при ее разработке учитывались изменения в Конституцию России и положения принятых в последнее время ключевых документов в сфере национальной безопасности.  В новой Стратегии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предусмотрена единая и емкая цель - укрепление единства многонационального народа России  и общероссийской гражданской идентичности. Четко обозначено значение национальной политики для обеспечения национальной безопасности страны.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Базовые положен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ия в новом стра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тегическом документе  сохранен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ы, но акцент сделан на приоритетных задачах.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Впервые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документе такого уровня значительное внимание уделено укреплению объединяющей роли русского народа как государствообразующего, сохранению и развитию культуры русского народа, что отвечает глобальным вызовам и угрозам существования Российского государства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как государства-цивилизации.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Усилен и миграционный блок.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 xml:space="preserve"> Целевые показатели  эффективности реализации стратегии, всего их стало 9, дополнены новыми индикаторами. 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Буквально на днях, с 2 по 3 марта, Управлением Президента Российской Федерации по внутренней политике совместно с ФАДН России на семинаре  в городе Пятигорске  были поставлены задачи регионам в контекст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е новой Стратегии, уделено большое значение государственно-религиозным отношениям.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Уважаемые участники коллегии, совместно с вами мы продолжаем работу над новым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региональным плановым документом по реализации Стратегии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на новый период.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План будет направлен органам местного самоуправления и общественному сектору для работы.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Обращаюсь  к коллегам из муниципалитетов! 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ля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выстраиван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ия общей логики принятия решений и концентрации ресурсов на приоритетных направлениях рекомендую  в течение 2-го квартала 2026 года актуализировать стратегические и плановые документы и привести их в соответствие с федеральными и региональными документами.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shd w:val="clear" w:color="ffffff" w:fill="ffffff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Правительственная комиссия по национальной политике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По решению Президента России 25 декабря создана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я по вопросам реализации государственной национальной политики Российской Федерации. Главной задачей комиссии является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координация деятельности федеральных органов исполнительной власти и исполнительных органов субъектов Российской Федерации в сфере  этнополитики.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yellow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shd w:val="clear" w:color="ffffff" w:fill="ffffff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Иные поручения Президента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 на Совете 5 ноября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На з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аседании Совета по межнациональным отношениям 5 ноября 2025 года Президент страны дал другие важные поручения Правительству России по законодательному и научному обеспечению национальной политики, в соответствии с которыми до 1 июня 2026 года запланированы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shd w:val="clear" w:color="ffffff" w:fill="ffffff"/>
        <w:rPr>
          <w:rFonts w:ascii="Times New Roman" w:hAnsi="Times New Roman" w:cs="Times New Roman"/>
          <w:color w:val="020c22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20c22"/>
          <w:sz w:val="28"/>
          <w:szCs w:val="28"/>
          <w:highlight w:val="none"/>
        </w:rPr>
        <w:t xml:space="preserve">внесение в Государственную Думу проекта федерального закона о правовом положении национально-культурных общественных объединений;</w:t>
      </w:r>
      <w:r>
        <w:rPr>
          <w:rFonts w:ascii="Times New Roman" w:hAnsi="Times New Roman" w:cs="Times New Roman"/>
          <w:color w:val="020c2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20c22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shd w:val="clear" w:color="ffffff" w:fill="ffffff"/>
        <w:rPr>
          <w:rFonts w:ascii="Times New Roman" w:hAnsi="Times New Roman" w:cs="Times New Roman"/>
          <w:color w:val="020c22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20c22"/>
          <w:sz w:val="28"/>
          <w:szCs w:val="28"/>
          <w:highlight w:val="none"/>
        </w:rPr>
        <w:t xml:space="preserve"> разработка совместно с Российской академией наук  комплексной программы научных исследований, всесторонним этнографическим изучением государств</w:t>
      </w:r>
      <w:r>
        <w:rPr>
          <w:rFonts w:ascii="Times New Roman" w:hAnsi="Times New Roman" w:eastAsia="Times New Roman" w:cs="Times New Roman"/>
          <w:color w:val="020c22"/>
          <w:sz w:val="28"/>
          <w:szCs w:val="28"/>
          <w:highlight w:val="none"/>
        </w:rPr>
        <w:t xml:space="preserve">ообразующего русского народа.</w:t>
      </w:r>
      <w:r>
        <w:rPr>
          <w:rFonts w:ascii="Times New Roman" w:hAnsi="Times New Roman" w:cs="Times New Roman"/>
          <w:color w:val="020c22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20c22"/>
          <w:sz w:val="28"/>
          <w:szCs w:val="28"/>
          <w:highlight w:val="none"/>
        </w:rPr>
        <w:t xml:space="preserve"> Также Российской академии наук поручено представить научно обоснованные предложения по совершенствованию методов проведения органами публичной власти социологических исследований межнациональных и межконфессиональных</w:t>
      </w:r>
      <w:r>
        <w:rPr>
          <w:rFonts w:ascii="Times New Roman" w:hAnsi="Times New Roman" w:eastAsia="Times New Roman" w:cs="Times New Roman"/>
          <w:color w:val="020c22"/>
          <w:sz w:val="28"/>
          <w:szCs w:val="28"/>
          <w:highlight w:val="none"/>
        </w:rPr>
        <w:t xml:space="preserve"> отношений.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Президент страны подчеркнул, что одним из важнейших индикаторов эффективности национальной политики должно быть мнение граждан. 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shd w:val="clear" w:color="ffffff" w:fill="ffffff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Информационное обеспечение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Поручения Президента в 2025 году также касаются</w:t>
      </w:r>
      <w:r>
        <w:rPr>
          <w:rFonts w:ascii="Times New Roman" w:hAnsi="Times New Roman" w:eastAsia="Times New Roman" w:cs="Times New Roman"/>
          <w:color w:val="020c22"/>
          <w:sz w:val="28"/>
          <w:szCs w:val="28"/>
          <w:highlight w:val="none"/>
        </w:rPr>
        <w:t xml:space="preserve"> дополнительных мер по информационному обеспечению реализации государственной национальной политики, в том числе по противодействию негативному иностранному информационному влиянию на состояние межнациональных отношений.</w:t>
      </w:r>
      <w:r>
        <w:rPr>
          <w:rFonts w:ascii="Times New Roman" w:hAnsi="Times New Roman" w:eastAsia="Times New Roman" w:cs="Times New Roman"/>
          <w:color w:val="020c2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20c22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120" w:line="276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</w:t>
        <w:tab/>
        <w:t xml:space="preserve">Для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формирова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ния объективного и достоверного   общественного мнения населения в сфере национальной политики в 2025 году на информационных ресурсах Администрации Главы и Правительства, министерства и Дома Дружбы народов размещено свыше 1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00 информаций о происходящих событиях. Большую работу в этом направлении проводят специалисты информационно-аналитического отдела Дома Дружбы народов под руководством Тазетдиновой Регины Раисовны и Вахрушевой Софьи Андреевны. В соцсетях организован доступ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 разнообразной информации, которая включает в себя культурные, образовательные и социальные аспекты.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В 2026 году планируем увеличить количество журналистских материалов о культурах и мирах разных народов.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shd w:val="clear" w:color="ffffff" w:fill="ffffff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Год единства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Одно из важных решений Президента России - объявление 2026 года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Годом единства народов России.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line="276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Э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то определенный сигнал и гражданам России, и всему миру о том, что национальное единство для нас – это один из главнейших приоритетов развития и вопрос национальных интересов.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Но, это не только Год нашего министерства и год дружбы между представителями разных национальностей. Год единства – это, в первую очередь,  про объединение во всем: в побед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е, культуре,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спорте. Это - про единство и поддержку семей участников СВО. Про духовно-нравственное единство и объединяющий нас патриотизм. Наконец, это и  про единство при проведении парламентских выборов в 2026 году в высший законодательный орган страны.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Вопрос единения общества  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u w:val="single"/>
        </w:rPr>
        <w:t xml:space="preserve">наднациональный вопрос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и он носит комплексный межотраслевой характер.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Поэтому в работу следует включиться всему обществу, всем отраслевым министерствам, органам местного самоуправления, науке, образованию, молодежи, спорту, некоммерческому сектору.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line="276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Удмуртии, с её глубокими традиц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иями дружбы и взаимопонимания, с участием общественного и научного сектора мы разработали межведомственный план по внесению в эту общенациональную работу свой весомый и искренний вклад.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0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Год единства будет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наполнен его реальными проектами, событиями и смыслами.</w:t>
      </w:r>
      <w:r>
        <w:rPr>
          <w:rFonts w:ascii="Times New Roman" w:hAnsi="Times New Roman" w:eastAsia="Times New Roman" w:cs="Times New Roman"/>
          <w:b w:val="0"/>
          <w:bCs w:val="0"/>
          <w:i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план включены патриотические, этнокультурные, молодежные, волонтерские, семейные, спортивные, языковые объединяющие мероприятия.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  <w:tab/>
        <w:t xml:space="preserve">Важными проектами Года единства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t xml:space="preserve"> останутся проекты Дома Дружбы народов "Родина - значит вместе",  Музей - этнолаборатория народов Удмуртии, Блог-тур "Маршрут построен! Удмуртия многонациональная". 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ind w:left="0" w:right="0" w:firstLine="700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Пройдет цикл мероприятий, приуроченных к Дню России, Дню языков народов России. По предложению Ижевской и Удмуртской Епархии 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Дню государственного флага Российской Федерации запланировано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большое многонациональное и многоконфессиональное шествие, а также парад многонациональных многодетных семей.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8"/>
          <w:szCs w:val="28"/>
          <w:highlight w:val="none"/>
        </w:rPr>
        <w:t xml:space="preserve">Особое место в плане занимают мероприятия, направленные на сохранение и укрепление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объединяющей роли русского народа как государствообразующего, сохранение и развитие культуры русского народа.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Одним из ключевых мероприятий Года единства по инициативе Общества русской культуры, лично Тюльпина Виталия Эдуардовича, Мельчиковой Св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етланы Рудольфовны станет этнографичес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кий фестиваль русской культуры «Высокий берег».  Уверен, что новое назначение в руководстве Общества придаст дополнительный  импульс дальнейшему развитию русской культуры в регионе.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рамках Года единства народов России по инициативе Всеудмуртской ассоциации Удмурт Кенеш и Минигараевой Елены Васильевны продолжит свою реализацию замечательный детский языковой проект «Пичи чеберайъёс, но батыръёс».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t xml:space="preserve">Немало в планом документе и совершенно новых мероприятий.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t xml:space="preserve">Так, например,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первые в 2026 году пройдет семейный национальный забег в национальных костюмах.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По предложению молодежной общественной организации «Шунды»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ля детей и молодежи будет организована языковая лагерная смена. Наряду с фестивалем-практикумом «Уроки родного языка», пройдет республиканская молодежная интеллектуальная игра «ЭТНОэксперт».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По инициативе Николая Дмитриевича Украинца в плане останется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т, посвященный Победе многонационального народа в Великой Отечественной войне, который  традиционно состоится в мае.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2 апреля в 17 часов в Доме Дружбы народов состоится мощное патриотическое мероприятие, посвященное единению народов России и Белоруссии.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Приглашаем всех принять участие.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удут организованы грантовые конкурсы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для молодежных НКО.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учащихся школ пройдут уроки дружбы.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инициативе уважаемого Ямакова Николая Ивановича в план вошел многонациональный фестиваль «В единстве наша сила!».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Запланирована к реализации социальная реклама Года единства народов России. 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line="276" w:lineRule="auto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Многие 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лючевые мероприятия Года вы видите 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а слайде!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Год единства народов России мы открыли торжественной церемонией вручения общественной премии «Содружество» за вклад в укрепление единства народов России 13 января в Доме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Дружбы народов. Наградили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тех,  кто ежедневно своим трудом укрепляет межнациональное согласие в России — общественных деятелей, педагогов, блогеров, лидеров и активистов национально-культурных объединений республики.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Благодарю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!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8"/>
        <w:jc w:val="both"/>
        <w:spacing w:line="276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Яркими проектами и мероприятиями Год единства открыт в муниципальных образованиях и многих министерствах и ведомствах.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480"/>
        <w:jc w:val="both"/>
        <w:spacing w:before="0" w:after="0" w:line="276" w:lineRule="auto"/>
        <w:shd w:val="clear" w:color="ffffff" w:fill="ffffff"/>
        <w:rPr>
          <w:rFonts w:ascii="Times New Roman" w:hAnsi="Times New Roman" w:cs="Times New Roman"/>
          <w:b/>
          <w:bCs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Социология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ind w:left="0" w:right="0" w:firstLine="480"/>
        <w:jc w:val="both"/>
        <w:spacing w:before="0" w:after="0" w:line="276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Благодаря нашей с вами общей работе существующее состояние межнациональных и межконфессиональных  отн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ошений в Удмуртской Республике характеризуется как стабильное. Об этом говорят итоги социологических опросов. Так, доля граждан, положительно оценивающих состояние межэтнических отношений в республике, за 2025 год по-прежнему сохранилась на уровне 2024 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да и составила  85,2%.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480"/>
        <w:jc w:val="both"/>
        <w:spacing w:before="0" w:after="0" w:line="276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88,5% опрошенных жителей говорят о том, что отношения между людьми разных национальностей в регионе  доброжелательные и бесконфликтные.  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аких-либо массовых волнений или межнациональных конфликтов спровоцировано не было. Более того, информанты отмечают, что на данный момент в Удмуртии маловероятна возможность конфликтов или столкновений между представителями разных национальностей.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480"/>
        <w:jc w:val="both"/>
        <w:spacing w:before="0" w:after="0" w:line="276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Позитивное состояние межнациональных отношений в республике обусловлено рядом объективных факторов исторического, эконо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мического и социально-полити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че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ского характера, а также устоявшейся региональной системой работы в этнополитике. Данная оценка прозвучала и на прошедшем выездном совещании профильного комитета Государственной Думы с коллегами из ПФО в октябре прошедшего года, которое прошло в г.Ижевске.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480"/>
        <w:jc w:val="both"/>
        <w:spacing w:before="0" w:after="0" w:line="276" w:lineRule="auto"/>
        <w:shd w:val="clear" w:color="ffffff" w:fill="ffffff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СЭР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left="0" w:right="0" w:firstLine="480"/>
        <w:jc w:val="both"/>
        <w:spacing w:before="0" w:after="0" w:line="276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Впервые в проекте Стратегии социально-экономического развития Удмуртской Республики на новый период до 2036 года  предусмотрен отдельный большой блок по национальной политике с ее анализом, проблемами и индикаторами эффективности.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480"/>
        <w:jc w:val="both"/>
        <w:spacing w:before="0" w:after="0" w:line="276" w:lineRule="auto"/>
        <w:shd w:val="clear" w:color="ffffff" w:fill="ffffff"/>
        <w:rPr>
          <w:rFonts w:ascii="Times New Roman" w:hAnsi="Times New Roman" w:cs="Times New Roman"/>
          <w:color w:val="444444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44444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начимость укрепления межэтнических отношений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их  актуальность были обозначены и в докладе Главы Удмуртии А.В.Бречалова «О положении в республике» 16 декабря в Государственном совете перед депутатским корпусом, что говорит о глубоком понимании и стратегическом видении основ стабильности и развития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нашего региона.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444444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120" w:line="276" w:lineRule="auto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Этномониторинг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120"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Важным этапом в сфере реализации государственной национальной политики стала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модернизация ФАДНом России в 2025 году государственной информационной системы мониторинга.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Э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то позволит 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повысить оперативность реагирования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 на возникновение угроз межнациональных и межконфессиональных конфликтов за счёт перевода взаимодействия с регионами и федеральными органами исполнительной власти в цифровой формат, а также 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расширить возможности прогнозирования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. 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/>
    </w:p>
    <w:p>
      <w:pPr>
        <w:ind w:firstLine="0"/>
        <w:jc w:val="both"/>
        <w:spacing w:line="276" w:lineRule="auto"/>
        <w:widowControl w:val="o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ab/>
        <w:t xml:space="preserve">В 2025 году в целом по стране отмечается рост на 7% общего количества негативных информационных поводов и составляет 36 849. По прежнему наиболее часто фиксируются публикации по национальной  и религиозной тематике.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С внешним негативным  влиянием связана 15 441 публикация, рост на 4%.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Особенно оно возросло после начала специальной военной оп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ерации.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0"/>
        <w:jc w:val="both"/>
        <w:spacing w:line="276" w:lineRule="auto"/>
        <w:widowControl w:val="off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         С негативными последствиями трудовой миграции связано - 9 912 публикаций, рост на 11%.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Детализированные цифры вы можете увидеть на слайде.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Удмуртской Республике 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ежедневном режиме с участием Ситуационного центра ФАДН России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мы ведем мониторинг межнациональной и межрелигиозной ситуа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ции. Это -  постоянное системное наблюдение в СМИ и соцсетях. Анализируем информацию более чем 600  региональных интернет-источников, в том числе мест неформального общения.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Материалы с негативным контентом в нашей сфере направляем в правоохранительные органы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 Администрацию Главы и Правительства.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Руководителям органам местного самоуправления в своей работе по профилактике и предупреждению экстремизма и межнациональных конфликтов мы рекомендуем использовать не только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ручную отработку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блогов и соцсетей, но и проведение соцопросов и иные инструменты постоянного наблюдения для профилактики конфликтных межнациональных и межконфессиональных ситуаций.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Патриотизм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дна из важных стратегических задач в этнополитике - это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кардинальное улучшение профилактики экстремизма и терроризма среди молодежи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воспитание подрастающего поколения и молодежи в уваж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ении и взаимопонимании друг друга.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нтироссийские силы активно используют интернет и онлайн-технологии для вербовки подростков, которые становятся исполнителями терактов.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708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Удмуртской Республике органами государственной власти и органами муниципального уровня ведется  системная работа по профилактике молодежи, включая мониторинг и анализ ситуации.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Внимательно следим за настроениями, чтобы вовремя предлагать созидательную альтернативу - события и контент, которые сплачивают, а не разобщают.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/>
    </w:p>
    <w:p>
      <w:pPr>
        <w:ind w:left="0" w:right="0" w:firstLine="708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рамках обучающих семинаров обучаем специалистов на местах, даём им прак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тические инструменты, делимся методами построения понимания и диалога.</w:t>
        <w:tab/>
        <w:t xml:space="preserve">Один из примеров такой работы – участие в проведении выездных семинаров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«Профилактика экстремизма в подростковой и молодежной среде»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для педагогических работников. На протяжении нескольких месяцев совместно с Министерством образования и науки мои коллеги из нашего министерства и Дома Дружбы выезжали в районы, чтобы поделиться практическими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инструментами. А основной темой стал игровой конструктор "Родина — значит вместе", доказавший свою эффективность уже среди  более чем 5000 человек.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8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Но несмотря на все эти меры, вопрос остается актуальным. Наша цель - чтобы Удмуртия оставалась пространством 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алога, молодёжь видела в многообразии народов силу, а не повод для разногласий.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76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Совершенствование нормативного регулирования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480"/>
        <w:jc w:val="both"/>
        <w:spacing w:before="0" w:after="0" w:line="276" w:lineRule="auto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2025 году министерством продолжена работа по совершенствованию региональной нормативно-правовой базы. Утвержден новый Порядок предоставления субсидий СОНКО на реализацию проектов и мероприятий в сфере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реализации государственной национальной политики на территории республики. Впервые НКО приступили к работе в электронном бюджете.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Уточнены правила предоставления межбюджетных трансфертов муниципальным образованиям на проведение национальных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праздников.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Внедрены финансовые механизмы поддержки проектов молодых активистов.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Разработан порядок предоставления целевых субсидий на повышение квалификации специалистов  IT-сферы в удмуртской филологии.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Большая заслуга в обновлении нормативной базы в министерстве  принадлежит Корепанову Александру Юрьевичу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 начальнику отдела гармонизации межнациональных отношений.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0500" cy="1905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668141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90499" cy="190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76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line="276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Одна из приоритетных наших задач  - укрепление согласия между народами при взаимодействии с НКО. Но «дружба» - понятие абстрактное, какими измеримыми показателями можно охарактеризовать нашу работу в этой сфере?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line="276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Если рассматривать дружбу в контексте общности народов нашей Родины, то окажется, что доверие, уважение и единые ценности - залог существования  единого многонационального народа, российской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80"/>
        <w:jc w:val="both"/>
        <w:spacing w:before="0" w:after="0" w:line="276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   С помощью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этносоциологического мониторинга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мы можем судить о сплоченности и единстве нашего общества.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 состоянию декабрь 2025 года уровень общероссийской гражданской идентичности в Удмуртской Республике составляет   82,6% ( в 2024 году - 73,1%).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line="276" w:lineRule="auto"/>
        <w:shd w:val="clear" w:color="ffffff" w:fill="ffffff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t xml:space="preserve">Гранты</w:t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Коллеги из НКО, религиозных организаций и муниципалитетов, в  2025 году вы продолжали участвовать в грантовых конкурсах.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Рождались замечательные проекты.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Общая сумма привлеченных средств в отрасль за счет грантовых конкурсов составила более 35 млн руб.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Конечно, это лишь 10-я доля всех привлеченных в республику грантов за счет активностей всех региональных СОНКО.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Но, нам есть к чему стремиться!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Лидерами в привлечении грантовых инвестиций на свои проекты по-прежнему являются Общество русской культуры, Удмурт Кенеш, бесермяне, Ресурсный центр «Куара».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Очень х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орошие практики получения грантовой поддержки применяют татарские общественные организации под руководством Габбасовой Рамзии Ильдусовны и Миниммуллина Ильсура Гафиулловича. Почти каждый год они на свои инициативы получают гранты Раиса Татарстана.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Руководители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НКО, рекомендую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спользовать в сво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ей работе все доступные ресурсы: грантовые конкурсы, государственные программы, федеральные и республиканские проекты, административную поддержку, помощь бизнеса.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Возможно, важно не создавать новое с нуля, а грамотно встраиваться в действующие системы поддержки.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highlight w:val="none"/>
        </w:rPr>
        <w:t xml:space="preserve">Национальные праздники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  <w:highlight w:val="none"/>
        </w:rPr>
        <w:t xml:space="preserve"> </w:t>
        <w:tab/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На высоком  уровне в 2025 году прошли в муниципальных образованиях по инициативе национально-культурных объединений национальные праздники: Масленица, Гербер, Корбан, Сабантуй, Семык.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b/>
          <w:bCs/>
          <w:i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Об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щество русской культуры, Удмурт Кенеш,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бесермянское общество, Татарская национально-культурная автономия, Татарский общественный центр, Башкирский общественный центр «Курай» и марийские организации внесли весомый вклад в разработку концепций и тематических площадок главных народных праздников.</w:t>
      </w:r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На 2026 год нам удалось защитить и значительно увеличить бюджет на проведение всех национальных праздников.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При существенной финансовой поддержке Правительства Удмуртии в 2025 году по инициативе Национального центра закамских удмуртов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прошёл 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Всероссийский фольклорный фестиваль «Древние напевы удмуртов Чакара»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Кукморском районе Татарстана.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э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фестиваль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t xml:space="preserve">Лучшая муниципальная практика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реализации государственной национальной политики органам местного самоуправления отводится особая роль. Именно вы ближе всего к людям. От вашей работы на местах зависит общий климат межнациональных отношений.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собую актуальность в работе 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имеет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 сбор, анализ и 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ретрансляция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лучших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муниципальных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практик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 в сфере межнациональных отношений.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Наши лучшие региональные и муниципальные практики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6060f"/>
          <w:sz w:val="28"/>
          <w:szCs w:val="28"/>
        </w:rPr>
        <w:t xml:space="preserve"> в сфере национальной политики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 получили высокую оценку на ежегодном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межрегиональном форуме «Мир в диалоге»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 в октябре 2025 года в Доме Дружбы народов., который прошел с участием депутатов Государственной Думы Российской Федерации.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567"/>
        <w:jc w:val="both"/>
        <w:spacing w:line="276" w:lineRule="auto"/>
        <w:widowControl w:val="off"/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 Кроме того, в ноябре 2025 года ФАДН России  положительным образом отметил Удм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уртию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 в числе регионов ПФО с наибольшим количеством поданных заявок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</w:rPr>
        <w:t xml:space="preserve"> Всероссийский конкурс «Лучшая муниципальная практика» в номинации «Укрепление межнационального мира и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согласия». </w:t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white"/>
        </w:rPr>
      </w:r>
    </w:p>
    <w:p>
      <w:pPr>
        <w:ind w:firstLine="567"/>
        <w:jc w:val="both"/>
        <w:spacing w:line="276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важаемые руководители органов местного самоуправления,  в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 Журавлевым Александром Андреевичем поставлена задача об индивидуальном, проектном сопровождении каждой поступившей заявки от муниципального образования.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Возьмите это себе под контроль!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Спорт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 2025 году мы впервые придумали и провели масштабную межнациональную спартакиаду по 6 видам спорта одновременно, которая прошла в Чекериле. Приняли участие более 300 человек!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Кроме этого, по-прежнему сохранился формат проведения отдельных спортивных мероприятий по разным видам спорта. И лидеры здесь: азербайджанская и армянские организации, Мосоян Арсен Владимирович, Аракелян Мнацакан Меружанович, Мирзаев Зульфигар Рагим-оглы.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 этом году по инициативе регионального отделения Ассамблеи народов России под руководством Шумихина Максима Алексндровича и Габдуллиной Анны Вадимовны межнациональная спартакиада в Год единства народов России проходит в обновленном формате.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yellow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Порядка 300 представителей разных конфессий республики — православные, мусульмане, иудеи и старообрядцы приняли участие в 5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-й Межконфессиональной спартакиаде Удмуртской Республики 2025 года, организованной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Ижевской и Удмуртской Епархией Русской Православной Церкви.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Спартакиада стала одним из событий, предваряющих Год единства народов России. 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Уже в  этом году в рамках межконфессиональной спартакиады по лыжным гонкам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объединили более 700 представителей православных приходов, армянской апостольской церкви, мусульманских, иудейских и старообрядческих общин.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Религии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Ижевс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кой и Удмуртской Митроп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олией, Рег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иональным управлением мусульман Удмуртии и иными религиозными организациями в 2025 году  было реализовано свыше 40 социально-значимых проектов, направленных на сохранение и укрепление традиционных духовно-нравственных ценностей, включая семейные ценности. </w:t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При поддержке регионального бюджета в 2025 году было продолжено восстановление Петропавловской колокольни в г.Сарапуле, имеющей большое историческое, архитектурное  и духовное значение для населения.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eastAsia="Times New Roman" w:cs="Times New Roman"/>
          <w:b/>
          <w:bCs/>
          <w:i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За счет субсидии ФАДН России продолжено создание духовно-просветительского центра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в г.Сарапуле.</w:t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Для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повышения компетенций религиозных лидеров в ноябре 2025 года министерством совместно с научными организациями был организован обучающий семинар «Удмуртия поликонфессиональная», в котором  прошли обучение 50 священнослужителей разных традиционных конфессий.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firstLine="708"/>
        <w:jc w:val="both"/>
        <w:spacing w:after="0" w:afterAutospacing="0" w:line="276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Благодаря совместной работе органов власти и представителям религиозных организаций в 2025 году 84,6%,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респондентов по-прежнему положительно оценивают  межконфессиональные отношения. 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2024 году – этот показатель был ниже на 1,2%.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8"/>
          <w:szCs w:val="28"/>
          <w:highlight w:val="none"/>
        </w:rPr>
        <w:t xml:space="preserve">Добровольчество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 2025 году  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обровольческий корпус этноволонтеров пополнился и достиг свыше 700 человек активной молодежи.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я, в День волонтера,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был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невероятно потрясающий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слет этноволонтеров.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    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Э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казывают  помощь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ветеранам специальной военной операции.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Плетут масксети, с иностранными студентами готовят пода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рки и пишут письма бойцам.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 2025  году национально-культурные объединения, религиозные организации и казачьи общества по-прежнему з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анимали активную гражданскую позицию и участвовали в социально значимых инициативах.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Сбор гуманитарной помощи для бойцов в зоне СВО продолжается  в режиме нон-стоп.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Никто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 xml:space="preserve">не оста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 xml:space="preserve">лся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 xml:space="preserve"> в стороне и вы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 xml:space="preserve">откликнулись на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помощь нашим землякам и всем российским воинам, участвующим в СВО на Украине.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Например, только в ноябре - декабре армянским землячеством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направлен на СВО автомобиль УАЗ.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120 пар  обуви для детей Донбасса собрало азербайджанское общество. Передал ноутбук для управлен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ия беспилотными летательными аппаратами Мухутдин Пайзетдинович Бахридино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. Большую гуманитарную помощь направляют активисты Удмурт Кенеш по всей республике.  Занимается социальной благотворительностью  Мирзо Мирзоумарович Умаров и  другие члены русских,  татарских, марийских  и многих других национально-культурных  объединений.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Государственная языковая политика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firstLine="708"/>
        <w:jc w:val="both"/>
        <w:spacing w:line="276" w:lineRule="auto"/>
        <w:widowControl w:val="off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ак нам в 2025 году удавалось поддерживать и  развивать языковое разнообразие?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spacing w:line="276" w:lineRule="auto"/>
        <w:widowControl w:val="off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 два последних года была существенно расширена федеральная нормативно-правовая база в области государственной языковой политики.  В июне Президент подписал закон о защите русского языка в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убличном пространстве. Учрежден День языков народов Российской Федерации - его будут отмечать 8 сентября.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2025 году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тверждены Основы государственной языковой политики Российской Федерации.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инициативе Госуда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рственного Сов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лично Татьяны Витальевны Ишматовой совместно с государственными и муниципальными органами, институтами гражданского общества и научными учреждениями в этом году  приступили к разработке структурированной  региональной «дорожной карты» по реализации основ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государственной языковой политики.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дорожную карту вошли предложения по 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ероприятиям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аналитического, мониторингового, научного уровней и ключевых языковых проектов.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Определен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переход на проектные принципы управления и расширен состав инструментов реализации этноязыковой политики.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Важные предложения в дорожную карту поступили от Всеудмуртской Ассоциации «Удмурт Кенеш» под председательством Ураськина Андрея Ивановича, других НКО и  научных организаций.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Также сохранению языков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способствовали меры по их поддержке в сфере образования, культуры, науки, СМИ. В прошлом учебном году у нас реализовано свыше 150 яз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ыковых проектов и мероприятий.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8"/>
        <w:jc w:val="both"/>
        <w:spacing w:line="276" w:lineRule="auto"/>
        <w:widowControl w:val="off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итогам социологического исследования в 2025 году доля, граждан, лояльно оценивающих меры по внедрению удмуртского языка, составила 87,2%.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</w:r>
    </w:p>
    <w:p>
      <w:pPr>
        <w:ind w:firstLine="708"/>
        <w:jc w:val="both"/>
        <w:spacing w:line="276" w:lineRule="auto"/>
        <w:widowControl w:val="off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2025 году при поддержке Правительства Удмуртии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здан орфограф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ический словарь  удмуртского языка.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b/>
          <w:bCs/>
          <w:i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  <w:tab/>
        <w:t xml:space="preserve">За счет регионального бюджета повысили свою квалификацию 25 айтишников в сфере удмуртской филологии.</w:t>
      </w:r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Государственный удмуртский язык продолжает свое присутствие в информационном городском пространстве: на афишах, в навигационных табличках нового международного терминала аэропорта имени Калашникова, при  озвучивании остановок некоторых троллейбусов.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line="276" w:lineRule="auto"/>
        <w:widowControl w:val="off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2025 году выделены средства для оборудования кабинетов родных языков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5-ти школах, в  5-ти районах (Дебесский, Можгинский, Граховский, Якшур-Бодьинский районы, город Глазов).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firstLine="708"/>
        <w:jc w:val="both"/>
        <w:spacing w:line="276" w:lineRule="auto"/>
        <w:widowControl w:val="off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При поддержке Правительства 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ганизовано 40 площадок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бесплатных курсов удмуртского и татарского языка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15-ти городах и районах.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firstLine="708"/>
        <w:jc w:val="both"/>
        <w:spacing w:line="276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Имущественная поддержка оказана сохранению родных языков в рамках работы  воскресных школ при армянской, азербайджанской, еврейской национально-культурных организаций.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76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Министерство национальной политики, как уполномоченный координирующий орган в сфере сохранения и развития языков народов Удмуртии,  взаимодействует с заинтересованными ведомствами и информирует участников коллегии о том, что  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2025 году книжное 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зд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ательство «Удмуртия» под руководством Кузнецо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ва Юрия Васильевича  подготовило 33 учебно-методических комплекта для 1-11 классов, включая печатную и электронную версии учебников по удмуртскому языку и литературе, а также методические пособия для учителей. Общий тираж составил около 32 000 экземпляров.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line="276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Учеб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ники разработаны Научно-исследовательским институтом национального образования Удмуртии под руководством Ураськиной Надежды Ивановны по заказу Министерства образования и науки республики. Они прошли федеральную экспертизу и включены в федеральный перечень.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8"/>
        <w:jc w:val="both"/>
        <w:spacing w:line="276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2026 году пособия также получат школы Татарстана. Параллельно издательство работает над учебниками «История нашего края. Удмуртия» для 5-7 классов.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line="276" w:lineRule="auto"/>
        <w:widowControl w:val="off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Вместе с тем, несмотря на принимаемые меры,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изучающих родные, уменьшается.  Динамику вы видите на слайде.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spacing w:line="276" w:lineRule="auto"/>
        <w:widowControl w:val="o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Обсуждение актуальных языковых проблем, тенденций и выработка дополнительных государственных мер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по сохранению языков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 в разных сферах: законодательство, образование, культура, информационные технологии – это, коллеги, отдельная большая тема.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Казачество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Удмуртия в 2025 году была в зоне критики по результатам оценки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реализации Стратегии государственной политики Российской Федерации в отношении российского казачества.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В 2026 году нам необходимо разработать соответствующую нормативную базу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 казачестве и порядке привлечения казаков к государственной и иной службе.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16 декабря 2025 года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 на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заседании Межведомственной комиссии по реализации Стратегии государственной политики Российской Федерации в отношении российского казачества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заместитель председателя Правительства России Татьяна Голикова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отметила, что в 2026 году заканчивается действующий план мероприятий по реализации стратегии, на период 2027–2030 годов будет разработан и утверждён новый план.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Приглашаем Гусарова Григория Николаевича включиться в совместную работу.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 Удмуртии 9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казачьих обществ и только 3 из них включены в государственный реестр Российской Федерации. В 2026 году эту работу надо ускорить  до конца 2-го квартала. Также в Удмуртии действуют 3 отделения общественных организаций казачьей направленности.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Коллеги, завершая свой доклад, еще раз отмечу, что 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прошлом году по основным и аналитическим показателям плановые значения наших отраслевых государственных программ Удмуртской Республики «Этносоциальное развитие и гармонизация межнациональных отношений» и «Сохранение,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изучение и развитие государственных языков Удмуртской Республики и иных языков народов Удмуртской Республики»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достигнуты. 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И, вместе с тем,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озможно, не все удалось сделать и реализовать в полной мере. Я об этом говорил в своем докладе. Но важным и неизменным для нас остаётся всегда одно -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чтобы каждый житель чувствовал свою значимость и имел возможность активного участия в жизни республики.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firstLine="708"/>
        <w:jc w:val="both"/>
        <w:spacing w:line="276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Именно поэтому мы очень старались реализовать проекты и инициативы, поддержанные нашими национально-культурным и религиозным сообществом, нашими коллегами из органов власти и экспертного сообщества.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708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Измеримые результаты работы, не озвученные в докладе, а также наши  планы на развитие вы видите на слайде, прошу ознакомиться.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пасибо каждому, кто был с нами в прошедшем году: коллегам из органов власти всех уровней, Дому Дружбы народов, экспертам, волонтерам, активу НКО и религиозных организаций и просто неравнодушным людям.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Впереди - еще больше работы, диалога и конкретных дел.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Спасибо всем за сотрудничество и каче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ственную работу в 2025 году!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</w:t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0"/>
        <w:jc w:val="both"/>
        <w:spacing w:line="276" w:lineRule="auto"/>
        <w:widowControl w:val="off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76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mbria">
    <w:panose1 w:val="020408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7</w:t>
    </w:r>
    <w:r>
      <w:fldChar w:fldCharType="end"/>
    </w:r>
    <w:r/>
  </w:p>
  <w:p>
    <w:pPr>
      <w:pStyle w:val="105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</w:t>
    </w:r>
    <w:r>
      <w:fldChar w:fldCharType="end"/>
    </w:r>
    <w:r/>
  </w:p>
  <w:p>
    <w:pPr>
      <w:pStyle w:val="10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0" w:hanging="81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6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2134" w:hanging="360"/>
      </w:pPr>
      <w:rPr>
        <w:rFonts w:hint="default" w:ascii="Symbol" w:hAnsi="Symbol" w:eastAsia="Symbol" w:cs="Symbol"/>
        <w:color w:val="000000"/>
        <w:sz w:val="30"/>
      </w:rPr>
    </w:lvl>
    <w:lvl w:ilvl="1">
      <w:start w:val="1"/>
      <w:numFmt w:val="bullet"/>
      <w:isLgl w:val="false"/>
      <w:suff w:val="tab"/>
      <w:lvlText w:val="·"/>
      <w:lvlJc w:val="left"/>
      <w:pPr>
        <w:ind w:left="2854" w:hanging="360"/>
      </w:pPr>
      <w:rPr>
        <w:rFonts w:hint="default" w:ascii="Symbol" w:hAnsi="Symbol" w:eastAsia="Symbol" w:cs="Symbol"/>
        <w:color w:val="000000"/>
        <w:sz w:val="30"/>
      </w:rPr>
    </w:lvl>
    <w:lvl w:ilvl="2">
      <w:start w:val="1"/>
      <w:numFmt w:val="bullet"/>
      <w:isLgl w:val="false"/>
      <w:suff w:val="tab"/>
      <w:lvlText w:val="·"/>
      <w:lvlJc w:val="left"/>
      <w:pPr>
        <w:ind w:left="3574" w:hanging="360"/>
      </w:pPr>
      <w:rPr>
        <w:rFonts w:hint="default" w:ascii="Symbol" w:hAnsi="Symbol" w:eastAsia="Symbol" w:cs="Symbol"/>
        <w:color w:val="000000"/>
        <w:sz w:val="30"/>
      </w:rPr>
    </w:lvl>
    <w:lvl w:ilvl="3">
      <w:start w:val="1"/>
      <w:numFmt w:val="bullet"/>
      <w:isLgl w:val="false"/>
      <w:suff w:val="tab"/>
      <w:lvlText w:val="·"/>
      <w:lvlJc w:val="left"/>
      <w:pPr>
        <w:ind w:left="4294" w:hanging="360"/>
      </w:pPr>
      <w:rPr>
        <w:rFonts w:hint="default" w:ascii="Symbol" w:hAnsi="Symbol" w:eastAsia="Symbol" w:cs="Symbol"/>
        <w:color w:val="000000"/>
        <w:sz w:val="30"/>
      </w:rPr>
    </w:lvl>
    <w:lvl w:ilvl="4">
      <w:start w:val="1"/>
      <w:numFmt w:val="bullet"/>
      <w:isLgl w:val="false"/>
      <w:suff w:val="tab"/>
      <w:lvlText w:val="·"/>
      <w:lvlJc w:val="left"/>
      <w:pPr>
        <w:ind w:left="5014" w:hanging="360"/>
      </w:pPr>
      <w:rPr>
        <w:rFonts w:hint="default" w:ascii="Symbol" w:hAnsi="Symbol" w:eastAsia="Symbol" w:cs="Symbol"/>
        <w:color w:val="000000"/>
        <w:sz w:val="30"/>
      </w:rPr>
    </w:lvl>
    <w:lvl w:ilvl="5">
      <w:start w:val="1"/>
      <w:numFmt w:val="bullet"/>
      <w:isLgl w:val="false"/>
      <w:suff w:val="tab"/>
      <w:lvlText w:val="·"/>
      <w:lvlJc w:val="left"/>
      <w:pPr>
        <w:ind w:left="5734" w:hanging="360"/>
      </w:pPr>
      <w:rPr>
        <w:rFonts w:hint="default" w:ascii="Symbol" w:hAnsi="Symbol" w:eastAsia="Symbol" w:cs="Symbol"/>
        <w:color w:val="000000"/>
        <w:sz w:val="30"/>
      </w:rPr>
    </w:lvl>
    <w:lvl w:ilvl="6">
      <w:start w:val="1"/>
      <w:numFmt w:val="bullet"/>
      <w:isLgl w:val="false"/>
      <w:suff w:val="tab"/>
      <w:lvlText w:val="·"/>
      <w:lvlJc w:val="left"/>
      <w:pPr>
        <w:ind w:left="6454" w:hanging="360"/>
      </w:pPr>
      <w:rPr>
        <w:rFonts w:hint="default" w:ascii="Symbol" w:hAnsi="Symbol" w:eastAsia="Symbol" w:cs="Symbol"/>
        <w:color w:val="000000"/>
        <w:sz w:val="30"/>
      </w:rPr>
    </w:lvl>
    <w:lvl w:ilvl="7">
      <w:start w:val="1"/>
      <w:numFmt w:val="bullet"/>
      <w:isLgl w:val="false"/>
      <w:suff w:val="tab"/>
      <w:lvlText w:val="·"/>
      <w:lvlJc w:val="left"/>
      <w:pPr>
        <w:ind w:left="7174" w:hanging="360"/>
      </w:pPr>
      <w:rPr>
        <w:rFonts w:hint="default" w:ascii="Symbol" w:hAnsi="Symbol" w:eastAsia="Symbol" w:cs="Symbol"/>
        <w:color w:val="000000"/>
        <w:sz w:val="30"/>
      </w:rPr>
    </w:lvl>
    <w:lvl w:ilvl="8">
      <w:start w:val="1"/>
      <w:numFmt w:val="bullet"/>
      <w:isLgl w:val="false"/>
      <w:suff w:val="tab"/>
      <w:lvlText w:val="·"/>
      <w:lvlJc w:val="left"/>
      <w:pPr>
        <w:ind w:left="7894" w:hanging="360"/>
      </w:pPr>
      <w:rPr>
        <w:rFonts w:hint="default" w:ascii="Symbol" w:hAnsi="Symbol" w:eastAsia="Symbol" w:cs="Symbol"/>
        <w:color w:val="000000"/>
        <w:sz w:val="3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4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4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4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  <w:highlight w:val="white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9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64">
    <w:name w:val="Heading 1"/>
    <w:basedOn w:val="1059"/>
    <w:next w:val="1059"/>
    <w:link w:val="8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65">
    <w:name w:val="Heading 1 Char"/>
    <w:link w:val="864"/>
    <w:uiPriority w:val="9"/>
    <w:rPr>
      <w:rFonts w:ascii="Arial" w:hAnsi="Arial" w:eastAsia="Arial" w:cs="Arial"/>
      <w:sz w:val="40"/>
      <w:szCs w:val="40"/>
    </w:rPr>
  </w:style>
  <w:style w:type="paragraph" w:styleId="866">
    <w:name w:val="Heading 2"/>
    <w:basedOn w:val="1059"/>
    <w:next w:val="1059"/>
    <w:link w:val="8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67">
    <w:name w:val="Heading 2 Char"/>
    <w:link w:val="866"/>
    <w:uiPriority w:val="9"/>
    <w:rPr>
      <w:rFonts w:ascii="Arial" w:hAnsi="Arial" w:eastAsia="Arial" w:cs="Arial"/>
      <w:sz w:val="34"/>
    </w:rPr>
  </w:style>
  <w:style w:type="paragraph" w:styleId="868">
    <w:name w:val="Heading 3"/>
    <w:basedOn w:val="1059"/>
    <w:next w:val="1059"/>
    <w:link w:val="8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69">
    <w:name w:val="Heading 3 Char"/>
    <w:link w:val="868"/>
    <w:uiPriority w:val="9"/>
    <w:rPr>
      <w:rFonts w:ascii="Arial" w:hAnsi="Arial" w:eastAsia="Arial" w:cs="Arial"/>
      <w:sz w:val="30"/>
      <w:szCs w:val="30"/>
    </w:rPr>
  </w:style>
  <w:style w:type="paragraph" w:styleId="870">
    <w:name w:val="Heading 4"/>
    <w:basedOn w:val="1059"/>
    <w:next w:val="1059"/>
    <w:link w:val="8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1">
    <w:name w:val="Heading 4 Char"/>
    <w:link w:val="870"/>
    <w:uiPriority w:val="9"/>
    <w:rPr>
      <w:rFonts w:ascii="Arial" w:hAnsi="Arial" w:eastAsia="Arial" w:cs="Arial"/>
      <w:b/>
      <w:bCs/>
      <w:sz w:val="26"/>
      <w:szCs w:val="26"/>
    </w:rPr>
  </w:style>
  <w:style w:type="paragraph" w:styleId="872">
    <w:name w:val="Heading 5"/>
    <w:basedOn w:val="1059"/>
    <w:next w:val="1059"/>
    <w:link w:val="8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73">
    <w:name w:val="Heading 5 Char"/>
    <w:link w:val="872"/>
    <w:uiPriority w:val="9"/>
    <w:rPr>
      <w:rFonts w:ascii="Arial" w:hAnsi="Arial" w:eastAsia="Arial" w:cs="Arial"/>
      <w:b/>
      <w:bCs/>
      <w:sz w:val="24"/>
      <w:szCs w:val="24"/>
    </w:rPr>
  </w:style>
  <w:style w:type="paragraph" w:styleId="874">
    <w:name w:val="Heading 6"/>
    <w:basedOn w:val="1059"/>
    <w:next w:val="1059"/>
    <w:link w:val="8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75">
    <w:name w:val="Heading 6 Char"/>
    <w:link w:val="874"/>
    <w:uiPriority w:val="9"/>
    <w:rPr>
      <w:rFonts w:ascii="Arial" w:hAnsi="Arial" w:eastAsia="Arial" w:cs="Arial"/>
      <w:b/>
      <w:bCs/>
      <w:sz w:val="22"/>
      <w:szCs w:val="22"/>
    </w:rPr>
  </w:style>
  <w:style w:type="paragraph" w:styleId="876">
    <w:name w:val="Heading 7"/>
    <w:basedOn w:val="1059"/>
    <w:next w:val="1059"/>
    <w:link w:val="8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7">
    <w:name w:val="Heading 7 Char"/>
    <w:link w:val="8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78">
    <w:name w:val="Heading 8"/>
    <w:basedOn w:val="1059"/>
    <w:next w:val="1059"/>
    <w:link w:val="8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79">
    <w:name w:val="Heading 8 Char"/>
    <w:link w:val="878"/>
    <w:uiPriority w:val="9"/>
    <w:rPr>
      <w:rFonts w:ascii="Arial" w:hAnsi="Arial" w:eastAsia="Arial" w:cs="Arial"/>
      <w:i/>
      <w:iCs/>
      <w:sz w:val="22"/>
      <w:szCs w:val="22"/>
    </w:rPr>
  </w:style>
  <w:style w:type="paragraph" w:styleId="880">
    <w:name w:val="Heading 9"/>
    <w:basedOn w:val="1059"/>
    <w:next w:val="1059"/>
    <w:link w:val="8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1">
    <w:name w:val="Heading 9 Char"/>
    <w:link w:val="880"/>
    <w:uiPriority w:val="9"/>
    <w:rPr>
      <w:rFonts w:ascii="Arial" w:hAnsi="Arial" w:eastAsia="Arial" w:cs="Arial"/>
      <w:i/>
      <w:iCs/>
      <w:sz w:val="21"/>
      <w:szCs w:val="21"/>
    </w:rPr>
  </w:style>
  <w:style w:type="paragraph" w:styleId="882">
    <w:name w:val="List Paragraph"/>
    <w:basedOn w:val="1059"/>
    <w:uiPriority w:val="34"/>
    <w:qFormat/>
    <w:pPr>
      <w:contextualSpacing/>
      <w:ind w:left="720"/>
    </w:pPr>
  </w:style>
  <w:style w:type="paragraph" w:styleId="883">
    <w:name w:val="No Spacing"/>
    <w:uiPriority w:val="1"/>
    <w:qFormat/>
    <w:pPr>
      <w:spacing w:before="0" w:after="0" w:line="240" w:lineRule="auto"/>
    </w:pPr>
  </w:style>
  <w:style w:type="paragraph" w:styleId="884">
    <w:name w:val="Title"/>
    <w:basedOn w:val="1059"/>
    <w:next w:val="1059"/>
    <w:link w:val="8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85">
    <w:name w:val="Title Char"/>
    <w:link w:val="884"/>
    <w:uiPriority w:val="10"/>
    <w:rPr>
      <w:sz w:val="48"/>
      <w:szCs w:val="48"/>
    </w:rPr>
  </w:style>
  <w:style w:type="paragraph" w:styleId="886">
    <w:name w:val="Subtitle"/>
    <w:basedOn w:val="1059"/>
    <w:next w:val="1059"/>
    <w:link w:val="887"/>
    <w:uiPriority w:val="11"/>
    <w:qFormat/>
    <w:pPr>
      <w:spacing w:before="200" w:after="200"/>
    </w:pPr>
    <w:rPr>
      <w:sz w:val="24"/>
      <w:szCs w:val="24"/>
    </w:rPr>
  </w:style>
  <w:style w:type="character" w:styleId="887">
    <w:name w:val="Subtitle Char"/>
    <w:link w:val="886"/>
    <w:uiPriority w:val="11"/>
    <w:rPr>
      <w:sz w:val="24"/>
      <w:szCs w:val="24"/>
    </w:rPr>
  </w:style>
  <w:style w:type="paragraph" w:styleId="888">
    <w:name w:val="Quote"/>
    <w:basedOn w:val="1059"/>
    <w:next w:val="1059"/>
    <w:link w:val="889"/>
    <w:uiPriority w:val="29"/>
    <w:qFormat/>
    <w:pPr>
      <w:ind w:left="720" w:right="720"/>
    </w:pPr>
    <w:rPr>
      <w:i/>
    </w:rPr>
  </w:style>
  <w:style w:type="character" w:styleId="889">
    <w:name w:val="Quote Char"/>
    <w:link w:val="888"/>
    <w:uiPriority w:val="29"/>
    <w:rPr>
      <w:i/>
    </w:rPr>
  </w:style>
  <w:style w:type="paragraph" w:styleId="890">
    <w:name w:val="Intense Quote"/>
    <w:basedOn w:val="1059"/>
    <w:next w:val="1059"/>
    <w:link w:val="8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91">
    <w:name w:val="Intense Quote Char"/>
    <w:link w:val="890"/>
    <w:uiPriority w:val="30"/>
    <w:rPr>
      <w:i/>
    </w:rPr>
  </w:style>
  <w:style w:type="paragraph" w:styleId="892">
    <w:name w:val="Header"/>
    <w:basedOn w:val="1059"/>
    <w:link w:val="8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93">
    <w:name w:val="Header Char"/>
    <w:link w:val="892"/>
    <w:uiPriority w:val="99"/>
  </w:style>
  <w:style w:type="paragraph" w:styleId="894">
    <w:name w:val="Footer"/>
    <w:basedOn w:val="1059"/>
    <w:link w:val="8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95">
    <w:name w:val="Footer Char"/>
    <w:link w:val="894"/>
    <w:uiPriority w:val="99"/>
  </w:style>
  <w:style w:type="paragraph" w:styleId="896">
    <w:name w:val="Caption"/>
    <w:basedOn w:val="1059"/>
    <w:next w:val="1059"/>
    <w:link w:val="8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97">
    <w:name w:val="Caption Char"/>
    <w:basedOn w:val="896"/>
    <w:link w:val="894"/>
    <w:uiPriority w:val="99"/>
  </w:style>
  <w:style w:type="table" w:styleId="89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0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0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2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2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2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3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3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3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3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3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3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3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3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3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3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4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4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4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4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6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6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6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6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6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6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6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9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9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9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9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9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9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9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9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9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9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0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0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0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0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0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0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0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0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0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0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1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1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1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1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1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1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1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1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1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1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2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2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2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2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24">
    <w:name w:val="Hyperlink"/>
    <w:uiPriority w:val="99"/>
    <w:unhideWhenUsed/>
    <w:rPr>
      <w:color w:val="0000ff" w:themeColor="hyperlink"/>
      <w:u w:val="single"/>
    </w:rPr>
  </w:style>
  <w:style w:type="paragraph" w:styleId="1025">
    <w:name w:val="footnote text"/>
    <w:basedOn w:val="1059"/>
    <w:link w:val="1026"/>
    <w:uiPriority w:val="99"/>
    <w:semiHidden/>
    <w:unhideWhenUsed/>
    <w:pPr>
      <w:spacing w:after="40" w:line="240" w:lineRule="auto"/>
    </w:pPr>
    <w:rPr>
      <w:sz w:val="18"/>
    </w:rPr>
  </w:style>
  <w:style w:type="character" w:styleId="1026">
    <w:name w:val="Footnote Text Char"/>
    <w:link w:val="1025"/>
    <w:uiPriority w:val="99"/>
    <w:rPr>
      <w:sz w:val="18"/>
    </w:rPr>
  </w:style>
  <w:style w:type="character" w:styleId="1027">
    <w:name w:val="footnote reference"/>
    <w:uiPriority w:val="99"/>
    <w:unhideWhenUsed/>
    <w:rPr>
      <w:vertAlign w:val="superscript"/>
    </w:rPr>
  </w:style>
  <w:style w:type="paragraph" w:styleId="1028">
    <w:name w:val="endnote text"/>
    <w:basedOn w:val="1059"/>
    <w:link w:val="1029"/>
    <w:uiPriority w:val="99"/>
    <w:semiHidden/>
    <w:unhideWhenUsed/>
    <w:pPr>
      <w:spacing w:after="0" w:line="240" w:lineRule="auto"/>
    </w:pPr>
    <w:rPr>
      <w:sz w:val="20"/>
    </w:rPr>
  </w:style>
  <w:style w:type="character" w:styleId="1029">
    <w:name w:val="Endnote Text Char"/>
    <w:link w:val="1028"/>
    <w:uiPriority w:val="99"/>
    <w:rPr>
      <w:sz w:val="20"/>
    </w:rPr>
  </w:style>
  <w:style w:type="character" w:styleId="1030">
    <w:name w:val="endnote reference"/>
    <w:uiPriority w:val="99"/>
    <w:semiHidden/>
    <w:unhideWhenUsed/>
    <w:rPr>
      <w:vertAlign w:val="superscript"/>
    </w:rPr>
  </w:style>
  <w:style w:type="paragraph" w:styleId="1031">
    <w:name w:val="toc 1"/>
    <w:basedOn w:val="1059"/>
    <w:next w:val="1059"/>
    <w:uiPriority w:val="39"/>
    <w:unhideWhenUsed/>
    <w:pPr>
      <w:ind w:left="0" w:right="0" w:firstLine="0"/>
      <w:spacing w:after="57"/>
    </w:pPr>
  </w:style>
  <w:style w:type="paragraph" w:styleId="1032">
    <w:name w:val="toc 2"/>
    <w:basedOn w:val="1059"/>
    <w:next w:val="1059"/>
    <w:uiPriority w:val="39"/>
    <w:unhideWhenUsed/>
    <w:pPr>
      <w:ind w:left="283" w:right="0" w:firstLine="0"/>
      <w:spacing w:after="57"/>
    </w:pPr>
  </w:style>
  <w:style w:type="paragraph" w:styleId="1033">
    <w:name w:val="toc 3"/>
    <w:basedOn w:val="1059"/>
    <w:next w:val="1059"/>
    <w:uiPriority w:val="39"/>
    <w:unhideWhenUsed/>
    <w:pPr>
      <w:ind w:left="567" w:right="0" w:firstLine="0"/>
      <w:spacing w:after="57"/>
    </w:pPr>
  </w:style>
  <w:style w:type="paragraph" w:styleId="1034">
    <w:name w:val="toc 4"/>
    <w:basedOn w:val="1059"/>
    <w:next w:val="1059"/>
    <w:uiPriority w:val="39"/>
    <w:unhideWhenUsed/>
    <w:pPr>
      <w:ind w:left="850" w:right="0" w:firstLine="0"/>
      <w:spacing w:after="57"/>
    </w:pPr>
  </w:style>
  <w:style w:type="paragraph" w:styleId="1035">
    <w:name w:val="toc 5"/>
    <w:basedOn w:val="1059"/>
    <w:next w:val="1059"/>
    <w:uiPriority w:val="39"/>
    <w:unhideWhenUsed/>
    <w:pPr>
      <w:ind w:left="1134" w:right="0" w:firstLine="0"/>
      <w:spacing w:after="57"/>
    </w:pPr>
  </w:style>
  <w:style w:type="paragraph" w:styleId="1036">
    <w:name w:val="toc 6"/>
    <w:basedOn w:val="1059"/>
    <w:next w:val="1059"/>
    <w:uiPriority w:val="39"/>
    <w:unhideWhenUsed/>
    <w:pPr>
      <w:ind w:left="1417" w:right="0" w:firstLine="0"/>
      <w:spacing w:after="57"/>
    </w:pPr>
  </w:style>
  <w:style w:type="paragraph" w:styleId="1037">
    <w:name w:val="toc 7"/>
    <w:basedOn w:val="1059"/>
    <w:next w:val="1059"/>
    <w:uiPriority w:val="39"/>
    <w:unhideWhenUsed/>
    <w:pPr>
      <w:ind w:left="1701" w:right="0" w:firstLine="0"/>
      <w:spacing w:after="57"/>
    </w:pPr>
  </w:style>
  <w:style w:type="paragraph" w:styleId="1038">
    <w:name w:val="toc 8"/>
    <w:basedOn w:val="1059"/>
    <w:next w:val="1059"/>
    <w:uiPriority w:val="39"/>
    <w:unhideWhenUsed/>
    <w:pPr>
      <w:ind w:left="1984" w:right="0" w:firstLine="0"/>
      <w:spacing w:after="57"/>
    </w:pPr>
  </w:style>
  <w:style w:type="paragraph" w:styleId="1039">
    <w:name w:val="toc 9"/>
    <w:basedOn w:val="1059"/>
    <w:next w:val="1059"/>
    <w:uiPriority w:val="39"/>
    <w:unhideWhenUsed/>
    <w:pPr>
      <w:ind w:left="2268" w:right="0" w:firstLine="0"/>
      <w:spacing w:after="57"/>
    </w:pPr>
  </w:style>
  <w:style w:type="paragraph" w:styleId="1040">
    <w:name w:val="TOC Heading"/>
    <w:uiPriority w:val="39"/>
    <w:unhideWhenUsed/>
  </w:style>
  <w:style w:type="paragraph" w:styleId="1041">
    <w:name w:val="table of figures"/>
    <w:basedOn w:val="1059"/>
    <w:next w:val="1059"/>
    <w:uiPriority w:val="99"/>
    <w:unhideWhenUsed/>
    <w:pPr>
      <w:spacing w:after="0" w:afterAutospacing="0"/>
    </w:pPr>
  </w:style>
  <w:style w:type="paragraph" w:styleId="1042">
    <w:name w:val="Normal"/>
    <w:next w:val="1042"/>
    <w:link w:val="1042"/>
    <w:qFormat/>
    <w:rPr>
      <w:sz w:val="24"/>
      <w:szCs w:val="24"/>
      <w:lang w:val="ru-RU" w:eastAsia="ru-RU" w:bidi="ar-SA"/>
    </w:rPr>
  </w:style>
  <w:style w:type="paragraph" w:styleId="1043">
    <w:name w:val="Заголовок 1"/>
    <w:basedOn w:val="1042"/>
    <w:next w:val="1043"/>
    <w:link w:val="1057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  <w:lang w:val="en-US" w:eastAsia="en-US"/>
    </w:rPr>
  </w:style>
  <w:style w:type="paragraph" w:styleId="1044">
    <w:name w:val="Заголовок 2"/>
    <w:basedOn w:val="1042"/>
    <w:next w:val="1042"/>
    <w:link w:val="1060"/>
    <w:semiHidden/>
    <w:unhideWhenUsed/>
    <w:qFormat/>
    <w:p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1045">
    <w:name w:val="Основной шрифт абзаца"/>
    <w:next w:val="1045"/>
    <w:link w:val="1042"/>
    <w:semiHidden/>
  </w:style>
  <w:style w:type="table" w:styleId="1046">
    <w:name w:val="Обычная таблица"/>
    <w:next w:val="1046"/>
    <w:link w:val="1042"/>
    <w:semiHidden/>
    <w:tblPr/>
  </w:style>
  <w:style w:type="numbering" w:styleId="1047">
    <w:name w:val="Нет списка"/>
    <w:next w:val="1047"/>
    <w:link w:val="1042"/>
    <w:semiHidden/>
  </w:style>
  <w:style w:type="paragraph" w:styleId="1048">
    <w:name w:val="Текст выноски"/>
    <w:basedOn w:val="1042"/>
    <w:next w:val="1048"/>
    <w:link w:val="1042"/>
    <w:semiHidden/>
    <w:rPr>
      <w:rFonts w:ascii="Tahoma" w:hAnsi="Tahoma" w:cs="Tahoma"/>
      <w:sz w:val="16"/>
      <w:szCs w:val="16"/>
    </w:rPr>
  </w:style>
  <w:style w:type="table" w:styleId="1049">
    <w:name w:val="Сетка таблицы"/>
    <w:basedOn w:val="1046"/>
    <w:next w:val="1049"/>
    <w:link w:val="1042"/>
    <w:uiPriority w:val="59"/>
    <w:tblPr/>
  </w:style>
  <w:style w:type="paragraph" w:styleId="1050">
    <w:name w:val="Верхний колонтитул"/>
    <w:basedOn w:val="1042"/>
    <w:next w:val="1050"/>
    <w:link w:val="1072"/>
    <w:uiPriority w:val="99"/>
    <w:pPr>
      <w:tabs>
        <w:tab w:val="center" w:pos="4677" w:leader="none"/>
        <w:tab w:val="right" w:pos="9355" w:leader="none"/>
      </w:tabs>
    </w:pPr>
  </w:style>
  <w:style w:type="paragraph" w:styleId="1051">
    <w:name w:val="Нижний колонтитул"/>
    <w:basedOn w:val="1042"/>
    <w:next w:val="1051"/>
    <w:link w:val="1042"/>
    <w:pPr>
      <w:tabs>
        <w:tab w:val="center" w:pos="4677" w:leader="none"/>
        <w:tab w:val="right" w:pos="9355" w:leader="none"/>
      </w:tabs>
    </w:pPr>
  </w:style>
  <w:style w:type="paragraph" w:styleId="1052">
    <w:name w:val="Основной текст с отступом"/>
    <w:basedOn w:val="1042"/>
    <w:next w:val="1052"/>
    <w:link w:val="1042"/>
    <w:pPr>
      <w:ind w:firstLine="720"/>
      <w:jc w:val="both"/>
    </w:pPr>
    <w:rPr>
      <w:sz w:val="28"/>
    </w:rPr>
  </w:style>
  <w:style w:type="character" w:styleId="1053">
    <w:name w:val="Гиперссылка"/>
    <w:next w:val="1053"/>
    <w:link w:val="1042"/>
    <w:rPr>
      <w:color w:val="0000ff"/>
      <w:u w:val="single"/>
    </w:rPr>
  </w:style>
  <w:style w:type="paragraph" w:styleId="1054">
    <w:name w:val="Обычный (веб)"/>
    <w:basedOn w:val="1042"/>
    <w:next w:val="1054"/>
    <w:link w:val="1042"/>
    <w:uiPriority w:val="99"/>
    <w:qFormat/>
    <w:pPr>
      <w:spacing w:before="100" w:beforeAutospacing="1" w:after="100" w:afterAutospacing="1"/>
    </w:pPr>
  </w:style>
  <w:style w:type="paragraph" w:styleId="1055">
    <w:name w:val="Без интервала"/>
    <w:next w:val="1055"/>
    <w:link w:val="1074"/>
    <w:uiPriority w:val="1"/>
    <w:qFormat/>
    <w:rPr>
      <w:rFonts w:ascii="Calibri" w:hAnsi="Calibri"/>
      <w:sz w:val="22"/>
      <w:szCs w:val="22"/>
      <w:lang w:bidi="ar-SA"/>
    </w:rPr>
  </w:style>
  <w:style w:type="paragraph" w:styleId="1056">
    <w:name w:val="ConsPlusNormal"/>
    <w:next w:val="1056"/>
    <w:link w:val="1042"/>
    <w:pPr>
      <w:widowControl w:val="off"/>
    </w:pPr>
    <w:rPr>
      <w:sz w:val="26"/>
      <w:lang w:val="ru-RU" w:eastAsia="ru-RU" w:bidi="ar-SA"/>
    </w:rPr>
  </w:style>
  <w:style w:type="character" w:styleId="1057">
    <w:name w:val="Заголовок 1 Знак"/>
    <w:basedOn w:val="1045"/>
    <w:next w:val="1057"/>
    <w:link w:val="1043"/>
    <w:uiPriority w:val="9"/>
    <w:rPr>
      <w:b/>
      <w:bCs/>
      <w:sz w:val="48"/>
      <w:szCs w:val="48"/>
      <w:lang w:val="en-US" w:eastAsia="en-US"/>
    </w:rPr>
  </w:style>
  <w:style w:type="character" w:styleId="1058">
    <w:name w:val="apple-converted-space"/>
    <w:next w:val="1058"/>
    <w:link w:val="1042"/>
  </w:style>
  <w:style w:type="paragraph" w:styleId="1059">
    <w:name w:val="Normal"/>
    <w:next w:val="1059"/>
    <w:link w:val="1042"/>
    <w:rPr>
      <w:lang w:val="ru-RU" w:eastAsia="ru-RU" w:bidi="ar-SA"/>
    </w:rPr>
  </w:style>
  <w:style w:type="character" w:styleId="1060">
    <w:name w:val="Заголовок 2 Знак"/>
    <w:basedOn w:val="1045"/>
    <w:next w:val="1060"/>
    <w:link w:val="1044"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1061">
    <w:name w:val="Выделение"/>
    <w:basedOn w:val="1045"/>
    <w:next w:val="1061"/>
    <w:link w:val="1042"/>
    <w:uiPriority w:val="20"/>
    <w:qFormat/>
    <w:rPr>
      <w:i/>
      <w:iCs/>
    </w:rPr>
  </w:style>
  <w:style w:type="character" w:styleId="1062">
    <w:name w:val="Строгий"/>
    <w:basedOn w:val="1045"/>
    <w:next w:val="1062"/>
    <w:link w:val="1042"/>
    <w:uiPriority w:val="22"/>
    <w:qFormat/>
    <w:rPr>
      <w:b/>
      <w:bCs/>
    </w:rPr>
  </w:style>
  <w:style w:type="character" w:styleId="1063">
    <w:name w:val="text-entity-blockquote-wrapper"/>
    <w:basedOn w:val="1045"/>
    <w:next w:val="1063"/>
    <w:link w:val="1042"/>
  </w:style>
  <w:style w:type="paragraph" w:styleId="1064">
    <w:name w:val="Абзац списка"/>
    <w:basedOn w:val="1042"/>
    <w:next w:val="1064"/>
    <w:link w:val="104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1065">
    <w:name w:val="formattext"/>
    <w:basedOn w:val="1042"/>
    <w:next w:val="1065"/>
    <w:link w:val="1042"/>
    <w:pPr>
      <w:spacing w:before="100" w:beforeAutospacing="1" w:after="100" w:afterAutospacing="1"/>
    </w:pPr>
  </w:style>
  <w:style w:type="paragraph" w:styleId="1066">
    <w:name w:val="Основной текст"/>
    <w:basedOn w:val="1042"/>
    <w:next w:val="1066"/>
    <w:link w:val="1067"/>
    <w:pPr>
      <w:spacing w:after="120"/>
      <w:widowControl w:val="off"/>
    </w:pPr>
  </w:style>
  <w:style w:type="character" w:styleId="1067">
    <w:name w:val="Основной текст Знак"/>
    <w:basedOn w:val="1045"/>
    <w:next w:val="1067"/>
    <w:link w:val="1066"/>
    <w:rPr>
      <w:sz w:val="24"/>
      <w:szCs w:val="24"/>
    </w:rPr>
  </w:style>
  <w:style w:type="paragraph" w:styleId="1068">
    <w:name w:val="Текст сноски,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1042"/>
    <w:next w:val="1068"/>
    <w:link w:val="1069"/>
    <w:uiPriority w:val="99"/>
    <w:unhideWhenUsed/>
    <w:rPr>
      <w:sz w:val="20"/>
      <w:szCs w:val="20"/>
    </w:rPr>
  </w:style>
  <w:style w:type="character" w:styleId="1069">
    <w:name w:val="Текст сноски Знак,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1045"/>
    <w:next w:val="1069"/>
    <w:link w:val="1068"/>
    <w:uiPriority w:val="99"/>
  </w:style>
  <w:style w:type="character" w:styleId="1070">
    <w:name w:val="Знак сноски,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1045"/>
    <w:next w:val="1070"/>
    <w:link w:val="1071"/>
    <w:uiPriority w:val="99"/>
    <w:unhideWhenUsed/>
    <w:qFormat/>
    <w:rPr>
      <w:vertAlign w:val="superscript"/>
    </w:rPr>
  </w:style>
  <w:style w:type="paragraph" w:styleId="1071">
    <w:name w:val="Ciae niinee I Знак,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1042"/>
    <w:next w:val="1071"/>
    <w:link w:val="1070"/>
    <w:uiPriority w:val="99"/>
    <w:qFormat/>
    <w:pPr>
      <w:spacing w:before="120" w:after="160" w:line="240" w:lineRule="exact"/>
    </w:pPr>
    <w:rPr>
      <w:sz w:val="20"/>
      <w:szCs w:val="20"/>
      <w:vertAlign w:val="superscript"/>
    </w:rPr>
  </w:style>
  <w:style w:type="character" w:styleId="1072">
    <w:name w:val="Верхний колонтитул Знак"/>
    <w:basedOn w:val="1045"/>
    <w:next w:val="1072"/>
    <w:link w:val="1050"/>
    <w:uiPriority w:val="99"/>
    <w:rPr>
      <w:sz w:val="24"/>
      <w:szCs w:val="24"/>
    </w:rPr>
  </w:style>
  <w:style w:type="paragraph" w:styleId="1073">
    <w:name w:val="about-article"/>
    <w:basedOn w:val="1042"/>
    <w:next w:val="1073"/>
    <w:link w:val="1042"/>
    <w:pPr>
      <w:spacing w:before="100" w:beforeAutospacing="1" w:after="100" w:afterAutospacing="1"/>
    </w:pPr>
  </w:style>
  <w:style w:type="character" w:styleId="1074">
    <w:name w:val="Без интервала Знак"/>
    <w:next w:val="1074"/>
    <w:link w:val="1055"/>
    <w:uiPriority w:val="1"/>
    <w:rPr>
      <w:rFonts w:ascii="Calibri" w:hAnsi="Calibri"/>
      <w:sz w:val="22"/>
      <w:szCs w:val="22"/>
      <w:lang w:bidi="ar-SA"/>
    </w:rPr>
  </w:style>
  <w:style w:type="character" w:styleId="1075" w:default="1">
    <w:name w:val="Default Paragraph Font"/>
    <w:uiPriority w:val="1"/>
    <w:semiHidden/>
    <w:unhideWhenUsed/>
  </w:style>
  <w:style w:type="numbering" w:styleId="1076" w:default="1">
    <w:name w:val="No List"/>
    <w:uiPriority w:val="99"/>
    <w:semiHidden/>
    <w:unhideWhenUsed/>
  </w:style>
  <w:style w:type="table" w:styleId="1077" w:default="1">
    <w:name w:val="Normal Table"/>
    <w:uiPriority w:val="99"/>
    <w:semiHidden/>
    <w:unhideWhenUsed/>
    <w:tblPr/>
  </w:style>
  <w:style w:type="paragraph" w:styleId="1078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79" w:customStyle="1">
    <w:name w:val="Normal (Web)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80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81" w:customStyle="1">
    <w:name w:val="List Bullet"/>
    <w:uiPriority w:val="99"/>
    <w:unhideWhenUsed/>
    <w:pPr>
      <w:numPr>
        <w:ilvl w:val="0"/>
        <w:numId w:val="0"/>
      </w:numPr>
      <w:contextualSpacing/>
      <w:ind w:left="360" w:right="0" w:hanging="36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vk.com/club174257223" TargetMode="External"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</dc:title>
  <dc:creator>*</dc:creator>
  <cp:lastModifiedBy>basharova_gr</cp:lastModifiedBy>
  <cp:revision>103</cp:revision>
  <dcterms:created xsi:type="dcterms:W3CDTF">2024-04-09T13:52:00Z</dcterms:created>
  <dcterms:modified xsi:type="dcterms:W3CDTF">2026-04-08T06:42:44Z</dcterms:modified>
  <cp:version>786432</cp:version>
</cp:coreProperties>
</file>