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работы с обращениями граждан в Министерстве </w:t>
      </w:r>
      <w:r>
        <w:rPr>
          <w:b/>
          <w:bCs/>
          <w:sz w:val="28"/>
          <w:szCs w:val="28"/>
        </w:rPr>
        <w:t xml:space="preserve">национальной политики Удмуртской Республики за 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 xml:space="preserve">квартал 2026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квартале 2026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Министерств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национальной политики Удмуртской Респуб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лики поступило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19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письменных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обращени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граждан: из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Администрации Главы и Правительства 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дмуртской Республики – 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Прокуратуры 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дмуртской Республики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– 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напрямую в Министерство – 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Вся поступившая корреспонденция от граждан рассматривается с учетом тематики поставленных вопросов и компетенции Министерства.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Тематика обращений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9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Национальная политика;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9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Строительство и деятельность храмов, мечетей;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9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Миграционная политика.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color w:val="1a1a1a"/>
          <w:sz w:val="28"/>
          <w:szCs w:val="28"/>
        </w:rPr>
      </w:pPr>
      <w:r>
        <w:rPr>
          <w:rFonts w:ascii="PT Astra Serif" w:hAnsi="PT Astra Serif" w:eastAsia="PT Astra Serif" w:cs="PT Astra Serif"/>
          <w:color w:val="1a1a1a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По результатам рассмотрения всех поступивших обращений гражданам  даны  письменные  ответы в соответствии с Федеральным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02.05.2006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59-ФЗ  «О порядке рассмотрения обращений граждан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1a1a1a"/>
          <w:sz w:val="28"/>
          <w:szCs w:val="28"/>
        </w:rPr>
      </w:r>
      <w:r>
        <w:rPr>
          <w:rFonts w:ascii="PT Astra Serif" w:hAnsi="PT Astra Serif" w:cs="PT Astra Serif"/>
          <w:color w:val="1a1a1a"/>
          <w:sz w:val="28"/>
          <w:szCs w:val="28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Министром национальной политики Удму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ртской Республики и заместителями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министра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рамках личного приёма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принято 2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человека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Темы правовых вопросов, с которыми граждане обращались на личный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прием, в основном, совпадали с вопросами, обозначенными в письменных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обращениях.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Приоритетными в личных заявлениях были и остаются вопросы,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касающиеся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реализации языковой политики, сохранения и развития языков народов,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проживающих на территории Удмуртской Республики, изучения удмуртского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языка в школах республики и за ее пределами.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Среди других тем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следует отметить следующие: взаимодействие и совместные проекты в рамках Года единства народов России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порядок оказания методической и иной ресурсной поддержки в реализации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проектов, направленных на решение целей и задач, определенных Стратегий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государственной национальной политики Российской Федерации на период до 2036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года;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деятельность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некоммерческих организаций (общественных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политических партий, общественных движений, религиозных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ассоциаций (союзов), казачьих обществ, общин коренных малочисленных народов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Российской Федерации, фондов, автономных организаций.)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Личные приемы населения с предоставлением правовой информации по законодательству в сфере государственной национальной политики осуществлялись министром национальной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политики Удмуртской Республики                Э.С.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Петровым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ходе выездных мероприятий в муниципальные образования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Воткинский,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Глазовский,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Каракулинский,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Киясовский,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Малопургинский, Можгинский, Увинский,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Ярский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районы, г. Воткинск, г. Глазов)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746" w:bottom="1134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rmal (Web)"/>
    <w:basedOn w:val="834"/>
    <w:pPr>
      <w:spacing w:before="100" w:beforeAutospacing="1" w:after="100" w:afterAutospacing="1"/>
    </w:pPr>
  </w:style>
  <w:style w:type="paragraph" w:styleId="839">
    <w:name w:val="List Paragraph"/>
    <w:basedOn w:val="834"/>
    <w:uiPriority w:val="34"/>
    <w:qFormat/>
    <w:pPr>
      <w:contextualSpacing/>
      <w:ind w:left="720"/>
    </w:pPr>
  </w:style>
  <w:style w:type="paragraph" w:styleId="840">
    <w:name w:val="Balloon Text"/>
    <w:basedOn w:val="834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5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Шараева Ярослава Михайловна</dc:creator>
  <cp:lastModifiedBy>isaeva</cp:lastModifiedBy>
  <cp:revision>17</cp:revision>
  <dcterms:created xsi:type="dcterms:W3CDTF">2024-10-14T14:00:00Z</dcterms:created>
  <dcterms:modified xsi:type="dcterms:W3CDTF">2026-07-01T10:41:14Z</dcterms:modified>
</cp:coreProperties>
</file>