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8"/>
        <w:jc w:val="center"/>
        <w:spacing w:before="0" w:beforeAutospacing="0" w:after="0" w:afterAutospacing="0" w:line="276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ИНФОРМАЦИЯ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jc w:val="center"/>
        <w:spacing w:before="0" w:beforeAutospacing="0" w:after="0" w:afterAutospacing="0" w:line="276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 итогах работы с обращениями граждан в Министерстве </w:t>
      </w:r>
      <w:r>
        <w:rPr>
          <w:b/>
          <w:bCs/>
          <w:sz w:val="28"/>
          <w:szCs w:val="28"/>
        </w:rPr>
        <w:t xml:space="preserve">национальной политики Удмуртской Республики за </w:t>
      </w:r>
      <w:r>
        <w:rPr>
          <w:b/>
          <w:bCs/>
          <w:sz w:val="28"/>
          <w:szCs w:val="28"/>
        </w:rPr>
        <w:t xml:space="preserve">I</w:t>
      </w:r>
      <w:r>
        <w:rPr>
          <w:b/>
          <w:bCs/>
          <w:sz w:val="28"/>
          <w:szCs w:val="28"/>
        </w:rPr>
        <w:t xml:space="preserve">I</w:t>
      </w:r>
      <w:r>
        <w:rPr>
          <w:b/>
          <w:bCs/>
          <w:sz w:val="28"/>
          <w:szCs w:val="28"/>
        </w:rPr>
        <w:t xml:space="preserve">I </w:t>
      </w:r>
      <w:r>
        <w:rPr>
          <w:b/>
          <w:bCs/>
          <w:sz w:val="28"/>
          <w:szCs w:val="28"/>
        </w:rPr>
        <w:t xml:space="preserve">квартал 2026</w:t>
      </w:r>
      <w:r>
        <w:rPr>
          <w:b/>
          <w:bCs/>
          <w:sz w:val="28"/>
          <w:szCs w:val="28"/>
        </w:rPr>
        <w:t xml:space="preserve"> год</w:t>
      </w:r>
      <w:r>
        <w:rPr>
          <w:b/>
          <w:bCs/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8"/>
        <w:jc w:val="center"/>
        <w:spacing w:before="0" w:beforeAutospacing="0" w:after="0" w:afterAutospacing="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38"/>
        <w:ind w:firstLine="851"/>
        <w:jc w:val="both"/>
        <w:spacing w:before="0" w:beforeAutospacing="0" w:after="0" w:afterAutospacing="0" w:line="276" w:lineRule="auto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В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I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I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I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квартале 2026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год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а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в Министерств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о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национальной политики Удмуртской Респуб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лики поступило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5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письменных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обращени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я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граждан: из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Администрации Главы и Правительства У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дмуртской Республики – 3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,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Администрации города Ижевска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– 1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напрямую в Министерство – 1.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pStyle w:val="838"/>
        <w:ind w:firstLine="851"/>
        <w:jc w:val="both"/>
        <w:spacing w:before="0" w:beforeAutospacing="0" w:after="0" w:afterAutospacing="0"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Вся поступившая корреспонденция от граждан рассматривается с учетом тематики поставленных вопросов и компетенции Министерства.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8"/>
        <w:ind w:firstLine="851"/>
        <w:jc w:val="both"/>
        <w:spacing w:before="0" w:beforeAutospacing="0" w:after="0" w:afterAutospacing="0"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Тематика обращений граждан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: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9"/>
        <w:numPr>
          <w:ilvl w:val="0"/>
          <w:numId w:val="1"/>
        </w:numPr>
        <w:jc w:val="both"/>
        <w:spacing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shd w:val="clear" w:color="auto" w:fill="ffffff"/>
        </w:rPr>
      </w:r>
      <w:r>
        <w:rPr>
          <w:rFonts w:ascii="PT Astra Serif" w:hAnsi="PT Astra Serif" w:eastAsia="PT Astra Serif" w:cs="PT Astra Serif"/>
          <w:sz w:val="28"/>
          <w:szCs w:val="28"/>
          <w:shd w:val="clear" w:color="auto" w:fill="ffffff"/>
        </w:rPr>
        <w:t xml:space="preserve">Национальная политика;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9"/>
        <w:numPr>
          <w:ilvl w:val="0"/>
          <w:numId w:val="1"/>
        </w:numPr>
        <w:jc w:val="both"/>
        <w:spacing w:line="276" w:lineRule="auto"/>
        <w:rPr>
          <w:rFonts w:ascii="PT Astra Serif" w:hAnsi="PT Astra Serif" w:cs="PT Astra Serif"/>
          <w:sz w:val="28"/>
          <w:szCs w:val="28"/>
          <w:shd w:val="clear" w:color="auto" w:fill="ffffff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Строительство и деятельность храмов, мечетей;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</w:r>
    </w:p>
    <w:p>
      <w:pPr>
        <w:pStyle w:val="839"/>
        <w:numPr>
          <w:ilvl w:val="0"/>
          <w:numId w:val="1"/>
        </w:numPr>
        <w:jc w:val="both"/>
        <w:spacing w:line="276" w:lineRule="auto"/>
        <w:rPr>
          <w:rFonts w:ascii="PT Astra Serif" w:hAnsi="PT Astra Serif" w:cs="PT Astra Serif"/>
          <w:sz w:val="28"/>
          <w:szCs w:val="28"/>
          <w:shd w:val="clear" w:color="auto" w:fill="ffffff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Миграционная политика.</w:t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</w:r>
      <w:r>
        <w:rPr>
          <w:rFonts w:ascii="PT Astra Serif" w:hAnsi="PT Astra Serif" w:cs="PT Astra Serif"/>
          <w:sz w:val="28"/>
          <w:szCs w:val="28"/>
          <w:shd w:val="clear" w:color="auto" w:fill="ffffff"/>
        </w:rPr>
      </w:r>
    </w:p>
    <w:p>
      <w:pPr>
        <w:pStyle w:val="838"/>
        <w:ind w:firstLine="851"/>
        <w:jc w:val="both"/>
        <w:spacing w:before="0" w:beforeAutospacing="0" w:after="0" w:afterAutospacing="0" w:line="276" w:lineRule="auto"/>
        <w:rPr>
          <w:rFonts w:ascii="PT Astra Serif" w:hAnsi="PT Astra Serif" w:cs="PT Astra Serif"/>
          <w:color w:val="1a1a1a"/>
          <w:sz w:val="28"/>
          <w:szCs w:val="28"/>
        </w:rPr>
      </w:pPr>
      <w:r>
        <w:rPr>
          <w:rFonts w:ascii="PT Astra Serif" w:hAnsi="PT Astra Serif" w:eastAsia="PT Astra Serif" w:cs="PT Astra Serif"/>
          <w:color w:val="1a1a1a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  <w:shd w:val="clear" w:color="auto" w:fill="ffffff"/>
        </w:rPr>
        <w:t xml:space="preserve">По результатам рассмотрения всех поступивших обращений гражданам  даны  письменные  ответы в соответствии с Федеральным законом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от 02.05.2006 №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59-ФЗ  «О порядке рассмотрения обращений граждан Российской Федерации».</w:t>
      </w:r>
      <w:r>
        <w:rPr>
          <w:rFonts w:ascii="PT Astra Serif" w:hAnsi="PT Astra Serif" w:eastAsia="PT Astra Serif" w:cs="PT Astra Serif"/>
          <w:sz w:val="28"/>
          <w:szCs w:val="28"/>
          <w:shd w:val="clear" w:color="auto" w:fill="ffffff"/>
        </w:rPr>
        <w:t xml:space="preserve"> </w:t>
      </w:r>
      <w:r>
        <w:rPr>
          <w:rFonts w:ascii="PT Astra Serif" w:hAnsi="PT Astra Serif" w:cs="PT Astra Serif"/>
          <w:color w:val="1a1a1a"/>
          <w:sz w:val="28"/>
          <w:szCs w:val="28"/>
        </w:rPr>
      </w:r>
      <w:r>
        <w:rPr>
          <w:rFonts w:ascii="PT Astra Serif" w:hAnsi="PT Astra Serif" w:cs="PT Astra Serif"/>
          <w:color w:val="1a1a1a"/>
          <w:sz w:val="28"/>
          <w:szCs w:val="28"/>
        </w:rPr>
      </w:r>
    </w:p>
    <w:p>
      <w:pPr>
        <w:pStyle w:val="838"/>
        <w:ind w:firstLine="851"/>
        <w:jc w:val="both"/>
        <w:spacing w:before="0" w:beforeAutospacing="0" w:after="0" w:afterAutospacing="0" w:line="276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shd w:val="clear" w:color="auto" w:fill="ffffff"/>
        </w:rPr>
        <w:t xml:space="preserve">Министром национальной политики Удму</w:t>
      </w:r>
      <w:r>
        <w:rPr>
          <w:rFonts w:ascii="PT Astra Serif" w:hAnsi="PT Astra Serif" w:eastAsia="PT Astra Serif" w:cs="PT Astra Serif"/>
          <w:sz w:val="28"/>
          <w:szCs w:val="28"/>
          <w:shd w:val="clear" w:color="auto" w:fill="ffffff"/>
        </w:rPr>
        <w:t xml:space="preserve">ртской Республики и заместителями </w:t>
      </w:r>
      <w:r>
        <w:rPr>
          <w:rFonts w:ascii="PT Astra Serif" w:hAnsi="PT Astra Serif" w:eastAsia="PT Astra Serif" w:cs="PT Astra Serif"/>
          <w:sz w:val="28"/>
          <w:szCs w:val="28"/>
          <w:shd w:val="clear" w:color="auto" w:fill="ffffff"/>
        </w:rPr>
        <w:t xml:space="preserve">министра</w:t>
      </w:r>
      <w:r>
        <w:rPr>
          <w:rFonts w:ascii="PT Astra Serif" w:hAnsi="PT Astra Serif" w:eastAsia="PT Astra Serif" w:cs="PT Astra Serif"/>
          <w:sz w:val="28"/>
          <w:szCs w:val="28"/>
          <w:shd w:val="clear" w:color="auto" w:fill="ffffff"/>
        </w:rPr>
        <w:t xml:space="preserve"> в рамках личного приёма </w:t>
      </w:r>
      <w:r>
        <w:rPr>
          <w:rFonts w:ascii="PT Astra Serif" w:hAnsi="PT Astra Serif" w:eastAsia="PT Astra Serif" w:cs="PT Astra Serif"/>
          <w:sz w:val="28"/>
          <w:szCs w:val="28"/>
          <w:shd w:val="clear" w:color="auto" w:fill="ffffff"/>
        </w:rPr>
        <w:t xml:space="preserve">принято 3</w:t>
      </w:r>
      <w:r>
        <w:rPr>
          <w:rFonts w:ascii="PT Astra Serif" w:hAnsi="PT Astra Serif" w:eastAsia="PT Astra Serif" w:cs="PT Astra Serif"/>
          <w:sz w:val="28"/>
          <w:szCs w:val="28"/>
          <w:shd w:val="clear" w:color="auto" w:fill="ffffff"/>
        </w:rPr>
        <w:t xml:space="preserve"> человека</w:t>
      </w:r>
      <w:r>
        <w:rPr>
          <w:rFonts w:ascii="PT Astra Serif" w:hAnsi="PT Astra Serif" w:eastAsia="PT Astra Serif" w:cs="PT Astra Serif"/>
          <w:sz w:val="28"/>
          <w:szCs w:val="28"/>
          <w:shd w:val="clear" w:color="auto" w:fill="ffffff"/>
        </w:rPr>
        <w:t xml:space="preserve">.</w:t>
      </w:r>
      <w:r>
        <w:rPr>
          <w:rFonts w:ascii="PT Astra Serif" w:hAnsi="PT Astra Serif" w:eastAsia="PT Astra Serif" w:cs="PT Astra Serif"/>
          <w:sz w:val="28"/>
          <w:szCs w:val="28"/>
          <w:shd w:val="clear" w:color="auto" w:fill="ffffff"/>
        </w:rPr>
        <w:t xml:space="preserve"> </w:t>
      </w:r>
      <w:r>
        <w:rPr>
          <w:rFonts w:ascii="PT Astra Serif" w:hAnsi="PT Astra Serif" w:eastAsia="PT Astra Serif" w:cs="PT Astra Serif"/>
          <w:color w:val="1a1a1a"/>
          <w:sz w:val="28"/>
          <w:szCs w:val="28"/>
        </w:rPr>
        <w:t xml:space="preserve">Темы правовых вопросов, с которыми граждане обращались на личный </w:t>
      </w:r>
      <w:r>
        <w:rPr>
          <w:rFonts w:ascii="PT Astra Serif" w:hAnsi="PT Astra Serif" w:eastAsia="PT Astra Serif" w:cs="PT Astra Serif"/>
          <w:color w:val="1a1a1a"/>
          <w:sz w:val="28"/>
          <w:szCs w:val="28"/>
        </w:rPr>
        <w:t xml:space="preserve">прием, в основном, совпадали с вопросами, обозначенными в письменных </w:t>
      </w:r>
      <w:r>
        <w:rPr>
          <w:rFonts w:ascii="PT Astra Serif" w:hAnsi="PT Astra Serif" w:eastAsia="PT Astra Serif" w:cs="PT Astra Serif"/>
          <w:color w:val="1a1a1a"/>
          <w:sz w:val="28"/>
          <w:szCs w:val="28"/>
        </w:rPr>
        <w:t xml:space="preserve">обращениях. </w:t>
      </w:r>
      <w:r>
        <w:rPr>
          <w:rFonts w:ascii="PT Astra Serif" w:hAnsi="PT Astra Serif" w:eastAsia="PT Astra Serif" w:cs="PT Astra Serif"/>
          <w:color w:val="1a1a1a"/>
          <w:sz w:val="28"/>
          <w:szCs w:val="28"/>
        </w:rPr>
        <w:t xml:space="preserve">Приоритетными в личных заявлениях были и остаются вопросы, </w:t>
      </w:r>
      <w:r>
        <w:rPr>
          <w:rFonts w:ascii="PT Astra Serif" w:hAnsi="PT Astra Serif" w:eastAsia="PT Astra Serif" w:cs="PT Astra Serif"/>
          <w:color w:val="1a1a1a"/>
          <w:sz w:val="28"/>
          <w:szCs w:val="28"/>
        </w:rPr>
        <w:t xml:space="preserve">касающиеся </w:t>
      </w:r>
      <w:r>
        <w:rPr>
          <w:rFonts w:ascii="PT Astra Serif" w:hAnsi="PT Astra Serif" w:eastAsia="PT Astra Serif" w:cs="PT Astra Serif"/>
          <w:color w:val="1a1a1a"/>
          <w:sz w:val="28"/>
          <w:szCs w:val="28"/>
        </w:rPr>
        <w:t xml:space="preserve">реализации языковой политики, сохранения и развития языков народов, </w:t>
      </w:r>
      <w:r>
        <w:rPr>
          <w:rFonts w:ascii="PT Astra Serif" w:hAnsi="PT Astra Serif" w:eastAsia="PT Astra Serif" w:cs="PT Astra Serif"/>
          <w:color w:val="1a1a1a"/>
          <w:sz w:val="28"/>
          <w:szCs w:val="28"/>
        </w:rPr>
        <w:t xml:space="preserve">проживающих на территории Удмуртской Республики, изучения удмуртского </w:t>
      </w:r>
      <w:r>
        <w:rPr>
          <w:rFonts w:ascii="PT Astra Serif" w:hAnsi="PT Astra Serif" w:eastAsia="PT Astra Serif" w:cs="PT Astra Serif"/>
          <w:color w:val="1a1a1a"/>
          <w:sz w:val="28"/>
          <w:szCs w:val="28"/>
        </w:rPr>
        <w:t xml:space="preserve">языка в школах республики и за ее пределами. </w:t>
      </w:r>
      <w:r>
        <w:rPr>
          <w:rFonts w:ascii="PT Astra Serif" w:hAnsi="PT Astra Serif" w:eastAsia="PT Astra Serif" w:cs="PT Astra Serif"/>
          <w:color w:val="1a1a1a"/>
          <w:sz w:val="28"/>
          <w:szCs w:val="28"/>
        </w:rPr>
        <w:t xml:space="preserve">Среди других тем </w:t>
      </w:r>
      <w:r>
        <w:rPr>
          <w:rFonts w:ascii="PT Astra Serif" w:hAnsi="PT Astra Serif" w:eastAsia="PT Astra Serif" w:cs="PT Astra Serif"/>
          <w:color w:val="1a1a1a"/>
          <w:sz w:val="28"/>
          <w:szCs w:val="28"/>
        </w:rPr>
        <w:t xml:space="preserve">следует отметить следующие: взаимодействие и совместные проекты в рамках Года единства народов России</w:t>
      </w:r>
      <w:r>
        <w:rPr>
          <w:rFonts w:ascii="PT Astra Serif" w:hAnsi="PT Astra Serif" w:eastAsia="PT Astra Serif" w:cs="PT Astra Serif"/>
          <w:color w:val="1a1a1a"/>
          <w:sz w:val="28"/>
          <w:szCs w:val="28"/>
          <w:highlight w:val="none"/>
        </w:rPr>
        <w:t xml:space="preserve">;</w:t>
      </w:r>
      <w:r>
        <w:rPr>
          <w:rFonts w:ascii="PT Astra Serif" w:hAnsi="PT Astra Serif" w:eastAsia="PT Astra Serif" w:cs="PT Astra Serif"/>
          <w:color w:val="1a1a1a"/>
          <w:sz w:val="28"/>
          <w:szCs w:val="28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1a1a1a"/>
          <w:sz w:val="28"/>
          <w:szCs w:val="28"/>
        </w:rPr>
        <w:t xml:space="preserve">порядок оказания методической и иной ресурсной поддержки в реализации </w:t>
      </w:r>
      <w:r>
        <w:rPr>
          <w:rFonts w:ascii="PT Astra Serif" w:hAnsi="PT Astra Serif" w:eastAsia="PT Astra Serif" w:cs="PT Astra Serif"/>
          <w:color w:val="1a1a1a"/>
          <w:sz w:val="28"/>
          <w:szCs w:val="28"/>
        </w:rPr>
        <w:t xml:space="preserve">проектов, направленных на решение целей и задач, определенных Стратегий </w:t>
      </w:r>
      <w:r>
        <w:rPr>
          <w:rFonts w:ascii="PT Astra Serif" w:hAnsi="PT Astra Serif" w:eastAsia="PT Astra Serif" w:cs="PT Astra Serif"/>
          <w:color w:val="1a1a1a"/>
          <w:sz w:val="28"/>
          <w:szCs w:val="28"/>
        </w:rPr>
        <w:t xml:space="preserve">государственной национальной политики Российской Федерации на период до 2036 </w:t>
      </w:r>
      <w:r>
        <w:rPr>
          <w:rFonts w:ascii="PT Astra Serif" w:hAnsi="PT Astra Serif" w:eastAsia="PT Astra Serif" w:cs="PT Astra Serif"/>
          <w:color w:val="1a1a1a"/>
          <w:sz w:val="28"/>
          <w:szCs w:val="28"/>
        </w:rPr>
        <w:t xml:space="preserve">года;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деятельность </w:t>
      </w:r>
      <w:r>
        <w:rPr>
          <w:rFonts w:ascii="PT Astra Serif" w:hAnsi="PT Astra Serif" w:eastAsia="PT Astra Serif" w:cs="PT Astra Serif"/>
          <w:color w:val="1a1a1a"/>
          <w:sz w:val="28"/>
          <w:szCs w:val="28"/>
        </w:rPr>
        <w:t xml:space="preserve">некоммерческих организаций (общественных организаций, </w:t>
      </w:r>
      <w:r>
        <w:rPr>
          <w:rFonts w:ascii="PT Astra Serif" w:hAnsi="PT Astra Serif" w:eastAsia="PT Astra Serif" w:cs="PT Astra Serif"/>
          <w:color w:val="1a1a1a"/>
          <w:sz w:val="28"/>
          <w:szCs w:val="28"/>
        </w:rPr>
        <w:t xml:space="preserve">политических партий, общественных движений, религиозных организаций, </w:t>
      </w:r>
      <w:r>
        <w:rPr>
          <w:rFonts w:ascii="PT Astra Serif" w:hAnsi="PT Astra Serif" w:eastAsia="PT Astra Serif" w:cs="PT Astra Serif"/>
          <w:color w:val="1a1a1a"/>
          <w:sz w:val="28"/>
          <w:szCs w:val="28"/>
        </w:rPr>
        <w:t xml:space="preserve">ассоциаций (союзов), казачьих обществ, общин коренных малочисленных народов </w:t>
      </w:r>
      <w:r>
        <w:rPr>
          <w:rFonts w:ascii="PT Astra Serif" w:hAnsi="PT Astra Serif" w:eastAsia="PT Astra Serif" w:cs="PT Astra Serif"/>
          <w:color w:val="1a1a1a"/>
          <w:sz w:val="28"/>
          <w:szCs w:val="28"/>
        </w:rPr>
        <w:t xml:space="preserve">Российской Федерации, фондов, автономных организаций.)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8"/>
        <w:ind w:firstLine="851"/>
        <w:jc w:val="both"/>
        <w:spacing w:before="0" w:beforeAutospacing="0" w:after="0" w:afterAutospacing="0" w:line="276" w:lineRule="auto"/>
        <w:rPr>
          <w:rFonts w:ascii="PT Astra Serif" w:hAnsi="PT Astra Serif" w:eastAsia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shd w:val="clear" w:color="auto" w:fill="ffffff"/>
        </w:rPr>
        <w:t xml:space="preserve">Личные приемы населения с предоставлением правовой информации по законодательству в сфере государственной национальной политики осуществлялись министром национальной</w:t>
      </w:r>
      <w:r>
        <w:rPr>
          <w:rFonts w:ascii="PT Astra Serif" w:hAnsi="PT Astra Serif" w:eastAsia="PT Astra Serif" w:cs="PT Astra Serif"/>
          <w:sz w:val="28"/>
          <w:szCs w:val="28"/>
          <w:shd w:val="clear" w:color="auto" w:fill="ffffff"/>
        </w:rPr>
        <w:t xml:space="preserve"> политики Удмуртской Республики                Э.С. </w:t>
      </w:r>
      <w:r>
        <w:rPr>
          <w:rFonts w:ascii="PT Astra Serif" w:hAnsi="PT Astra Serif" w:eastAsia="PT Astra Serif" w:cs="PT Astra Serif"/>
          <w:sz w:val="28"/>
          <w:szCs w:val="28"/>
          <w:shd w:val="clear" w:color="auto" w:fill="ffffff"/>
        </w:rPr>
        <w:t xml:space="preserve">Петровым</w:t>
      </w:r>
      <w:r>
        <w:rPr>
          <w:rFonts w:ascii="PT Astra Serif" w:hAnsi="PT Astra Serif" w:eastAsia="PT Astra Serif" w:cs="PT Astra Serif"/>
          <w:sz w:val="28"/>
          <w:szCs w:val="28"/>
          <w:shd w:val="clear" w:color="auto" w:fill="ffffff"/>
        </w:rPr>
        <w:t xml:space="preserve"> в ходе выездных мероприятий в муниципальные образования </w:t>
      </w:r>
      <w:r>
        <w:rPr>
          <w:rFonts w:ascii="PT Astra Serif" w:hAnsi="PT Astra Serif" w:eastAsia="PT Astra Serif" w:cs="PT Astra Serif"/>
          <w:sz w:val="28"/>
          <w:szCs w:val="28"/>
          <w:shd w:val="clear" w:color="auto" w:fill="ffffff"/>
        </w:rPr>
        <w:t xml:space="preserve">(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shd w:val="clear" w:color="auto" w:fill="ffffff"/>
        </w:rPr>
        <w:t xml:space="preserve">Глазовски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shd w:val="clear" w:color="auto" w:fill="ffffff"/>
        </w:rPr>
        <w:t xml:space="preserve">й,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shd w:val="clear" w:color="auto" w:fill="ffffff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shd w:val="clear" w:color="auto" w:fill="ffffff"/>
        </w:rPr>
        <w:t xml:space="preserve">Каракулинский, 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shd w:val="clear" w:color="auto" w:fill="ffffff"/>
        </w:rPr>
        <w:t xml:space="preserve">Селтинский, С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shd w:val="clear" w:color="auto" w:fill="ffffff"/>
        </w:rPr>
        <w:t xml:space="preserve">ю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shd w:val="clear" w:color="auto" w:fill="ffffff"/>
        </w:rPr>
        <w:t xml:space="preserve">м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shd w:val="clear" w:color="auto" w:fill="ffffff"/>
        </w:rPr>
        <w:t xml:space="preserve">с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shd w:val="clear" w:color="auto" w:fill="ffffff"/>
        </w:rPr>
        <w:t xml:space="preserve">и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shd w:val="clear" w:color="auto" w:fill="ffffff"/>
        </w:rPr>
        <w:t xml:space="preserve">н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shd w:val="clear" w:color="auto" w:fill="ffffff"/>
        </w:rPr>
        <w:t xml:space="preserve">с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shd w:val="clear" w:color="auto" w:fill="ffffff"/>
        </w:rPr>
        <w:t xml:space="preserve">к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shd w:val="clear" w:color="auto" w:fill="ffffff"/>
        </w:rPr>
        <w:t xml:space="preserve">и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shd w:val="clear" w:color="auto" w:fill="ffffff"/>
        </w:rPr>
        <w:t xml:space="preserve">й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shd w:val="clear" w:color="auto" w:fill="ffffff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shd w:val="clear" w:color="auto" w:fill="ffffff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shd w:val="clear" w:color="auto" w:fill="ffffff"/>
        </w:rPr>
        <w:t xml:space="preserve">Ю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shd w:val="clear" w:color="auto" w:fill="ffffff"/>
        </w:rPr>
        <w:t xml:space="preserve">каменский, 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shd w:val="clear" w:color="auto" w:fill="ffffff"/>
        </w:rPr>
        <w:t xml:space="preserve">Ярс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shd w:val="clear" w:color="auto" w:fill="ffffff"/>
        </w:rPr>
        <w:t xml:space="preserve">кий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shd w:val="clear" w:color="auto" w:fill="ffffff"/>
        </w:rPr>
        <w:t xml:space="preserve"> район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shd w:val="clear" w:color="auto" w:fill="ffffff"/>
        </w:rPr>
        <w:t xml:space="preserve">ы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shd w:val="clear" w:color="auto" w:fill="ffffff"/>
        </w:rPr>
        <w:t xml:space="preserve">, г. Воткинск</w:t>
      </w:r>
      <w:r>
        <w:rPr>
          <w:rFonts w:ascii="PT Astra Serif" w:hAnsi="PT Astra Serif" w:eastAsia="PT Astra Serif" w:cs="PT Astra Serif"/>
          <w:sz w:val="28"/>
          <w:szCs w:val="28"/>
          <w:shd w:val="clear" w:color="auto" w:fill="ffffff"/>
        </w:rPr>
        <w:t xml:space="preserve">)</w:t>
      </w:r>
      <w:r>
        <w:rPr>
          <w:rFonts w:ascii="PT Astra Serif" w:hAnsi="PT Astra Serif" w:eastAsia="PT Astra Serif" w:cs="PT Astra Serif"/>
          <w:sz w:val="28"/>
          <w:szCs w:val="28"/>
          <w:shd w:val="clear" w:color="auto" w:fill="ffffff"/>
        </w:rPr>
        <w:t xml:space="preserve">.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709" w:right="746" w:bottom="1134" w:left="108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Wingdings">
    <w:panose1 w:val="05010000000000000000"/>
  </w:font>
  <w:font w:name="Tahoma">
    <w:panose1 w:val="020B060403050404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1428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7">
    <w:name w:val="Heading 1"/>
    <w:basedOn w:val="834"/>
    <w:next w:val="834"/>
    <w:link w:val="65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8">
    <w:name w:val="Heading 1 Char"/>
    <w:basedOn w:val="835"/>
    <w:link w:val="657"/>
    <w:uiPriority w:val="9"/>
    <w:rPr>
      <w:rFonts w:ascii="Arial" w:hAnsi="Arial" w:eastAsia="Arial" w:cs="Arial"/>
      <w:sz w:val="40"/>
      <w:szCs w:val="40"/>
    </w:rPr>
  </w:style>
  <w:style w:type="paragraph" w:styleId="659">
    <w:name w:val="Heading 2"/>
    <w:basedOn w:val="834"/>
    <w:next w:val="834"/>
    <w:link w:val="66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0">
    <w:name w:val="Heading 2 Char"/>
    <w:basedOn w:val="835"/>
    <w:link w:val="659"/>
    <w:uiPriority w:val="9"/>
    <w:rPr>
      <w:rFonts w:ascii="Arial" w:hAnsi="Arial" w:eastAsia="Arial" w:cs="Arial"/>
      <w:sz w:val="34"/>
    </w:rPr>
  </w:style>
  <w:style w:type="paragraph" w:styleId="661">
    <w:name w:val="Heading 3"/>
    <w:basedOn w:val="834"/>
    <w:next w:val="834"/>
    <w:link w:val="66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2">
    <w:name w:val="Heading 3 Char"/>
    <w:basedOn w:val="835"/>
    <w:link w:val="661"/>
    <w:uiPriority w:val="9"/>
    <w:rPr>
      <w:rFonts w:ascii="Arial" w:hAnsi="Arial" w:eastAsia="Arial" w:cs="Arial"/>
      <w:sz w:val="30"/>
      <w:szCs w:val="30"/>
    </w:rPr>
  </w:style>
  <w:style w:type="paragraph" w:styleId="663">
    <w:name w:val="Heading 4"/>
    <w:basedOn w:val="834"/>
    <w:next w:val="834"/>
    <w:link w:val="66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4">
    <w:name w:val="Heading 4 Char"/>
    <w:basedOn w:val="835"/>
    <w:link w:val="663"/>
    <w:uiPriority w:val="9"/>
    <w:rPr>
      <w:rFonts w:ascii="Arial" w:hAnsi="Arial" w:eastAsia="Arial" w:cs="Arial"/>
      <w:b/>
      <w:bCs/>
      <w:sz w:val="26"/>
      <w:szCs w:val="26"/>
    </w:rPr>
  </w:style>
  <w:style w:type="paragraph" w:styleId="665">
    <w:name w:val="Heading 5"/>
    <w:basedOn w:val="834"/>
    <w:next w:val="834"/>
    <w:link w:val="66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6">
    <w:name w:val="Heading 5 Char"/>
    <w:basedOn w:val="835"/>
    <w:link w:val="665"/>
    <w:uiPriority w:val="9"/>
    <w:rPr>
      <w:rFonts w:ascii="Arial" w:hAnsi="Arial" w:eastAsia="Arial" w:cs="Arial"/>
      <w:b/>
      <w:bCs/>
      <w:sz w:val="24"/>
      <w:szCs w:val="24"/>
    </w:rPr>
  </w:style>
  <w:style w:type="paragraph" w:styleId="667">
    <w:name w:val="Heading 6"/>
    <w:basedOn w:val="834"/>
    <w:next w:val="834"/>
    <w:link w:val="66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8">
    <w:name w:val="Heading 6 Char"/>
    <w:basedOn w:val="835"/>
    <w:link w:val="667"/>
    <w:uiPriority w:val="9"/>
    <w:rPr>
      <w:rFonts w:ascii="Arial" w:hAnsi="Arial" w:eastAsia="Arial" w:cs="Arial"/>
      <w:b/>
      <w:bCs/>
      <w:sz w:val="22"/>
      <w:szCs w:val="22"/>
    </w:rPr>
  </w:style>
  <w:style w:type="paragraph" w:styleId="669">
    <w:name w:val="Heading 7"/>
    <w:basedOn w:val="834"/>
    <w:next w:val="834"/>
    <w:link w:val="67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0">
    <w:name w:val="Heading 7 Char"/>
    <w:basedOn w:val="835"/>
    <w:link w:val="66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1">
    <w:name w:val="Heading 8"/>
    <w:basedOn w:val="834"/>
    <w:next w:val="834"/>
    <w:link w:val="67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2">
    <w:name w:val="Heading 8 Char"/>
    <w:basedOn w:val="835"/>
    <w:link w:val="671"/>
    <w:uiPriority w:val="9"/>
    <w:rPr>
      <w:rFonts w:ascii="Arial" w:hAnsi="Arial" w:eastAsia="Arial" w:cs="Arial"/>
      <w:i/>
      <w:iCs/>
      <w:sz w:val="22"/>
      <w:szCs w:val="22"/>
    </w:rPr>
  </w:style>
  <w:style w:type="paragraph" w:styleId="673">
    <w:name w:val="Heading 9"/>
    <w:basedOn w:val="834"/>
    <w:next w:val="834"/>
    <w:link w:val="67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4">
    <w:name w:val="Heading 9 Char"/>
    <w:basedOn w:val="835"/>
    <w:link w:val="673"/>
    <w:uiPriority w:val="9"/>
    <w:rPr>
      <w:rFonts w:ascii="Arial" w:hAnsi="Arial" w:eastAsia="Arial" w:cs="Arial"/>
      <w:i/>
      <w:iCs/>
      <w:sz w:val="21"/>
      <w:szCs w:val="21"/>
    </w:rPr>
  </w:style>
  <w:style w:type="paragraph" w:styleId="675">
    <w:name w:val="No Spacing"/>
    <w:uiPriority w:val="1"/>
    <w:qFormat/>
    <w:pPr>
      <w:spacing w:before="0" w:after="0" w:line="240" w:lineRule="auto"/>
    </w:pPr>
  </w:style>
  <w:style w:type="paragraph" w:styleId="676">
    <w:name w:val="Title"/>
    <w:basedOn w:val="834"/>
    <w:next w:val="834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basedOn w:val="835"/>
    <w:link w:val="676"/>
    <w:uiPriority w:val="10"/>
    <w:rPr>
      <w:sz w:val="48"/>
      <w:szCs w:val="48"/>
    </w:rPr>
  </w:style>
  <w:style w:type="paragraph" w:styleId="678">
    <w:name w:val="Subtitle"/>
    <w:basedOn w:val="834"/>
    <w:next w:val="834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basedOn w:val="835"/>
    <w:link w:val="678"/>
    <w:uiPriority w:val="11"/>
    <w:rPr>
      <w:sz w:val="24"/>
      <w:szCs w:val="24"/>
    </w:rPr>
  </w:style>
  <w:style w:type="paragraph" w:styleId="680">
    <w:name w:val="Quote"/>
    <w:basedOn w:val="834"/>
    <w:next w:val="834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4"/>
    <w:next w:val="834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4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basedOn w:val="835"/>
    <w:link w:val="684"/>
    <w:uiPriority w:val="99"/>
  </w:style>
  <w:style w:type="paragraph" w:styleId="686">
    <w:name w:val="Footer"/>
    <w:basedOn w:val="834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basedOn w:val="835"/>
    <w:link w:val="686"/>
    <w:uiPriority w:val="99"/>
  </w:style>
  <w:style w:type="paragraph" w:styleId="688">
    <w:name w:val="Caption"/>
    <w:basedOn w:val="834"/>
    <w:next w:val="834"/>
    <w:link w:val="68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688"/>
    <w:link w:val="686"/>
    <w:uiPriority w:val="35"/>
  </w:style>
  <w:style w:type="table" w:styleId="690">
    <w:name w:val="Table Grid"/>
    <w:basedOn w:val="83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0">
    <w:name w:val="List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1">
    <w:name w:val="List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2">
    <w:name w:val="List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3">
    <w:name w:val="List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4">
    <w:name w:val="List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5">
    <w:name w:val="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7">
    <w:name w:val="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8">
    <w:name w:val="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9">
    <w:name w:val="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0">
    <w:name w:val="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1">
    <w:name w:val="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2">
    <w:name w:val="Bordered &amp; 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4">
    <w:name w:val="Bordered &amp; 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5">
    <w:name w:val="Bordered &amp; 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6">
    <w:name w:val="Bordered &amp; 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7">
    <w:name w:val="Bordered &amp; 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8">
    <w:name w:val="Bordered &amp; 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9">
    <w:name w:val="Bordered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basedOn w:val="835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basedOn w:val="835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35" w:default="1">
    <w:name w:val="Default Paragraph Font"/>
    <w:uiPriority w:val="1"/>
    <w:semiHidden/>
    <w:unhideWhenUsed/>
  </w:style>
  <w:style w:type="table" w:styleId="8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7" w:default="1">
    <w:name w:val="No List"/>
    <w:uiPriority w:val="99"/>
    <w:semiHidden/>
    <w:unhideWhenUsed/>
  </w:style>
  <w:style w:type="paragraph" w:styleId="838">
    <w:name w:val="Normal (Web)"/>
    <w:basedOn w:val="834"/>
    <w:pPr>
      <w:spacing w:before="100" w:beforeAutospacing="1" w:after="100" w:afterAutospacing="1"/>
    </w:pPr>
  </w:style>
  <w:style w:type="paragraph" w:styleId="839">
    <w:name w:val="List Paragraph"/>
    <w:basedOn w:val="834"/>
    <w:uiPriority w:val="34"/>
    <w:qFormat/>
    <w:pPr>
      <w:contextualSpacing/>
      <w:ind w:left="720"/>
    </w:pPr>
  </w:style>
  <w:style w:type="paragraph" w:styleId="840">
    <w:name w:val="Balloon Text"/>
    <w:basedOn w:val="834"/>
    <w:link w:val="841"/>
    <w:uiPriority w:val="99"/>
    <w:semiHidden/>
    <w:unhideWhenUsed/>
    <w:rPr>
      <w:rFonts w:ascii="Tahoma" w:hAnsi="Tahoma" w:cs="Tahoma"/>
      <w:sz w:val="16"/>
      <w:szCs w:val="16"/>
    </w:rPr>
  </w:style>
  <w:style w:type="character" w:styleId="841" w:customStyle="1">
    <w:name w:val="Текст выноски Знак"/>
    <w:basedOn w:val="835"/>
    <w:link w:val="840"/>
    <w:uiPriority w:val="99"/>
    <w:semiHidden/>
    <w:rPr>
      <w:rFonts w:ascii="Tahoma" w:hAnsi="Tahoma" w:eastAsia="Times New Roman" w:cs="Tahom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Шараева Ярослава Михайловна</dc:creator>
  <cp:lastModifiedBy>isaeva</cp:lastModifiedBy>
  <cp:revision>19</cp:revision>
  <dcterms:created xsi:type="dcterms:W3CDTF">2024-10-14T14:00:00Z</dcterms:created>
  <dcterms:modified xsi:type="dcterms:W3CDTF">2026-10-06T06:57:11Z</dcterms:modified>
</cp:coreProperties>
</file>