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  <w:r>
        <w:rPr>
          <w:rFonts w:ascii="PT Astra Serif" w:hAnsi="PT Astra Serif" w:cs="Times New Roman"/>
          <w:b/>
          <w:sz w:val="28"/>
          <w:szCs w:val="28"/>
        </w:rPr>
        <w:t xml:space="preserve">РЕГИОНАЛЬНЫХ </w:t>
      </w:r>
      <w:r>
        <w:rPr>
          <w:rFonts w:ascii="PT Astra Serif" w:hAnsi="PT Astra Serif" w:cs="Times New Roman"/>
          <w:b/>
          <w:sz w:val="28"/>
          <w:szCs w:val="28"/>
        </w:rPr>
        <w:t xml:space="preserve">ЛЬГОТ И МЕР СОЦИАЛЬНОЙ ПОДДЕРЖКИ, ПРЕДОСТАВЛЯЕМЫХ НА ТЕРРИТОРИИ </w:t>
      </w:r>
      <w:r>
        <w:rPr>
          <w:rFonts w:ascii="PT Astra Serif" w:hAnsi="PT Astra Serif" w:cs="Times New Roman"/>
          <w:b/>
          <w:sz w:val="28"/>
          <w:szCs w:val="28"/>
        </w:rPr>
        <w:t xml:space="preserve">УДМУРТСК</w:t>
      </w:r>
      <w:r>
        <w:rPr>
          <w:rFonts w:ascii="PT Astra Serif" w:hAnsi="PT Astra Serif" w:cs="Times New Roman"/>
          <w:b/>
          <w:sz w:val="28"/>
          <w:szCs w:val="28"/>
        </w:rPr>
        <w:t xml:space="preserve">ОЙ</w:t>
      </w:r>
      <w:r>
        <w:rPr>
          <w:rFonts w:ascii="PT Astra Serif" w:hAnsi="PT Astra Serif" w:cs="Times New Roman"/>
          <w:b/>
          <w:sz w:val="28"/>
          <w:szCs w:val="28"/>
        </w:rPr>
        <w:t xml:space="preserve"> РЕСПУБЛИКИ ВОЕННОСЛУЖАЩИМ</w:t>
      </w:r>
      <w:r>
        <w:rPr>
          <w:rFonts w:ascii="PT Astra Serif" w:hAnsi="PT Astra Serif" w:cs="Times New Roman"/>
          <w:b/>
          <w:sz w:val="28"/>
          <w:szCs w:val="28"/>
        </w:rPr>
        <w:t xml:space="preserve"> И ЧЛЕНАМ ИХ СЕМЕЙ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tbl>
      <w:tblPr>
        <w:tblStyle w:val="856"/>
        <w:tblW w:w="15310" w:type="dxa"/>
        <w:tblInd w:w="-176" w:type="dxa"/>
        <w:tblLook w:val="04A0" w:firstRow="1" w:lastRow="0" w:firstColumn="1" w:lastColumn="0" w:noHBand="0" w:noVBand="1"/>
      </w:tblPr>
      <w:tblGrid>
        <w:gridCol w:w="8789"/>
        <w:gridCol w:w="6521"/>
      </w:tblGrid>
      <w:tr>
        <w:tblPrEx/>
        <w:trPr/>
        <w:tc>
          <w:tcPr>
            <w:tcW w:w="8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равовые акты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, которыми установлены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Региональные льготы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Налоговые льготы по транспортному налогу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боевых действий, которым оказываются меры социальной поддержки в соответствии с Федеральным </w:t>
            </w:r>
            <w:hyperlink r:id="rId11" w:tooltip="consultantplus://offline/ref=1EE389C0AF8615065B1E2472540ECC8A700EF6FA5D729F072EA2E16D4D64253412920D5D5DB45384714C6D4180u733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освобождаются от уплаты налога по одному транспортному средству, мощность двигателя которого не превышает 150 лошадиных сил (110,33 кВт) включительно.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которым оказываются меры социальной поддержки в соответствии с Федеральным </w:t>
            </w:r>
            <w:hyperlink r:id="rId12" w:tooltip="consultantplus://offline/ref=EDDF35E53AD3E6D94F461CE2F5582A0DD0639624D18203DF51DED4050904C0AE1E128A0465D50825B9EF200FD9E54E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уплачивают транспортный налог по одному транспортному средству, мощность двигателя которого не превышает 150 лошадиных сил (110,33 кВт), по ставке 50 процентов от размера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соответствующей ставки налога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27.11.2002 № 63-РЗ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транспортном налоге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Право на получение бесплатной юридической помощи в рамках государственной системы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Предусмотрено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следующих категорий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получение всех видо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рамках государственной систем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3" w:tooltip="consultantplus://offline/ref=DB357B178F0A84F0F26746C6CE32720557A4B1B4E3DFA5615A1813E55B07A5C4A043B2B95B6966416E79F7FB566F9583BE5CD59E78D8AD12iDyDH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пункте 6 статьи 1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31 мая 1996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также члены семей указанных лиц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17.12.2012 № 70-РЗ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«Об оказании бесплатной юридической помощи в Удмуртской Республике» (в редакции Закон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07.07.2023 № 67-РЗ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04.06.2024 № 28-РЗ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21.03.2025 № 10-РЗ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05.11.2025 № 64-РЗ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земельных участков из земель, находящихся в государственной или муниципальной собственности, расположенных на территории Удмуртской Республики, для индивидуального жилищного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редоставлени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собственность бесплатно для индивидуального жилищного строительства земельных участков из земель, находящихся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государственной или муниципальной собственности, расположенных на территории Удмуртской Республики</w:t>
            </w:r>
            <w:bookmarkStart w:id="0" w:name="Par0"/>
            <w:r/>
            <w:bookmarkEnd w:id="0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лицам, проходящим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(проходившим) службу в войсках национальной гвардии Российской Федерации, членам семей указанных лиц, погибших (умерших) вследствие увечья (ранения, травмы, контузии) или заболевания, полученных ими при выполнении задач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17.07.2023 № 68-РЗ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бесплатном предостав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Закона Удмуртской Республики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26.12.2024 № 85-РЗ)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разрешения на добычу охотничьих ресурсов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20 % разрешений на добычу копытных животных и медведя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распределяется между заявителями, являющимися ветеранами (инвалидами) боевых действий и гражданами Российской Федерации, принимающими (принимавшими)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ртской Республики от 22.06.2012 № 31-РЗ «О порядке распределения разрешений на добычу охотничьих ресурсов между физическими лицами, осуществляющими охоту в общедоступных охотничьих угодьях в Удмуртской Республике» (в редакции Законов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25.12.2018 № 92-РЗ, от 08.06.2021 № 59-РЗ,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08.10.2024 № 58-РЗ, от 23.06.2025 № 42-РЗ)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Профессиональное обучение и дополнительное профессиональное образование, содействие в поиске работы, а также содействие самозанятости безработных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целях социальной поддержки член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семей граждан Российской Федерации, призванных в Удмуртской Республике на военную службу по мобилизации в соответствии с Указом Президента Российской Федерации от 21.09.2022 № 647 «Об объявлении частичной мобилизации в Российской Федерации»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(далее – Указ № 647)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заключивших по направлению федерального казенного учреждения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Военный комиссариат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следующие дополнительные меры социальной поддержки: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профессиональное обучение и дополнительное профессиональное образование;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в поиске работы;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самозанятости безработных членов семей, включая предоставление в ускоренном порядке единовременной финансовой помощи на открытие собственного дела;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членам семей в оформлении социальных и иных вы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плат, мер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non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25.11.2022 № 315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жки членов семей граждан 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освобождаются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Федерации, призванны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мобилизации, - на период прохождения ими военной службы;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проходящи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в Вооруженных Силах Российской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Федерации по контракту,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проходящ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 Республики, Херсонской области и Запорожской области - на период их участия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заключивши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мобилизации, в период действия военного положения, в военное время, при возникновении вооруженных 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пределами территории Российской Федерации, - на период действия указанного контракта;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проходящи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в пограничных органах федеральной службы безопасности и выполняющие (выполнявшие) задачи по отражению вооруженного вторжения 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территорию Российской Федерации, выполняющие (выполнявшие)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операции на территориях Украины, Донецкой Народной Республики, Луганской Народной Республики, Запорожской области и Херсонской области, а также обеспечивающие (обеспечивавшие) проведение специальной военной операции на указанных приграничных территориях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субъектов Российской Федерации, проходящие военную службу (службу) в войсках национальной гвардии Российской Федерации и оказывающие (оказывавшие)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совместно проживающ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гражданами, указанными в пунктах 1 - 4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супруг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дет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родител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а также друг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родственник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нетрудоспособны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иждивенц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признанны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членами семьи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- на период, установленный для граждан, указанных в пунктах 1 - 4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25.11.2022 № 316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освобождения граждан, указанных в пунктах 1 - 5 части 1 статьи 9.1 Федерального закона от 14 марта 2022 года № 58-ФЗ «О внесении изменений в отдельные законодательные акты Российской Федераци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и»,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Указа Главы Удмуртской Республики от 07.03.2025 № 63)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4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образования, предоставляется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призванным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заключившим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заключившим с 24 февраля 2022 года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заключившим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и принимающим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ветеранам боевых действий и принимавших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командированны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зону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родителям (законным представителям), указанным в пунктах 1-6, получивших увечья (ранения, травмы, контузии) или заболевания;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8) родителям (законным представителям)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гибели (смерти) одного из родителей (законных представителей), указанных в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пунктах 1-6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16.02.2023 № 26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осв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обождении отдельных категорий родителей (законных представителей) от взимания родительской платы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28.11.2023 № 299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31.05.2024 № 142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08.10.2024 № 293, от 22.01.2025 № 13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24.03.2025 № 73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29.10.2025 № 256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социальных услуг в форме социального обслуживания на дому, а также в полустационарной и стационарной форме социального обслуживания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оциальны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услуг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форме социального обслуживания на дому, а также в полустационарной и стационарной форме социального обслуживания в социально-реабилитационном центре для граждан пожилого возраста и инвалидов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бесплатно следующим категориям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признанным нуждающимися в социальном обслуживании в установленном законодательством Удмуртск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ой Республики порядке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гражданам,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призванным на военную службу по мобилизации или поступившим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задач, возложенных на Вооруженные Силы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членам семьи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призванных на военную службу по мобилизации или поступивших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на период прохождения военной службы по мобилизации или на период действия контракта о добровольном содействии в выполнении задач, возложенных на Вооружен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ные Силы Российской Федерации, а также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29.06.2023 № 154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поддержки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Федерации, а также членов их семей»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Единовременная денежная выплата в размере 400 тыс. рублей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Единовременная денежная выплата в размере 400 тыс. рублей предоставляется военнослужащим, проходившим военную службу по призыву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Министерства обороны Российской Федерации), военнослужащим, проходившим военную службу по призыву в войсках национальной гвардии Российской Федерации (за исключением военнослужащих, замещающих воинские должности курсантов военных образовательных организаци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высшего образования, находящихся в ведении Федеральной службы войск национальной гвардии Российской Федерации или Министерства обороны Российской Федерации), иным гражданам Российской Федерации и иностранным гражданам, которые заключили в период с 1 авгу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ста 2024 года по 31 декабря 2026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года контракт о прохождении военной службы в Вооруженных Силах Российской Федерац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ии,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06.08.2024 № 222 «О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гвардии Российской Федерации» (в редакции Указов Главы Удмуртской Республики от 16.01.2025 № 5, от 04.03.2025       № 54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13.11.2025 № 269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12.01.2026 № 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бесплатн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горяч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питани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я обучающим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ся в период их обучения по образовательным программам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бесплатным горячим питанием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обучающихся в период их обучения по образовательн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ым программам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 (один раз в учебный день) в случае гибели (смерти) родителей (законных представителей),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которые: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призваны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647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4) заключили контракт о поступлении на военную службу по контракту, продолжающему свое действие до окончания периода частичной мобилизации,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5) 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6) командированы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2"/>
              <w:jc w:val="both"/>
              <w:tabs>
                <w:tab w:val="left" w:pos="498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7) родитель (законный представитель) в случае гибели (смерти) одного из родителей (законных представителей), указанных в пунктах 1 - 6, а также получения ими увечья (ранения, тр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23.09.2024 № 260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дополнительной мере социальной поддержки семей граждан Российской Фе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дерации, принимающих участие в специальной военной операции, в части обеспечения бесплатным горячим питанием обучающихся в период их обучения по образовательным программам основного общего образования, образовательным программам среднего общего образования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29.11.2024 № 353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24.03.2025 № 73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19.12.2025 № 312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Единовременная денежная выплата в размере 400 тыс. рублей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55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Единовременная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денежная выплата в размере 400 тыс. рублей предоставляется следующим категориям граждан, заключившим контракт о прохождении военной службы в Вооруженных Силах Российской Федерации сроком на один год и более в период проведения специальной военной операции: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военнослужащим, проходившим военную службу по призыву в Вооруженных Силах Российской Федерации (за исключением воен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Министерства обороны Российской Федерации), которые в период с 1 января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2025 года по 31 декабря 2026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года заключили контракт о прохождении военной службы;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гражданам, добровольно поступившим на военную службу по контракту через пункт отбора на военную службу по контракту (2 разряда) города Ижевска в период с 1 января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2025 года по 31 декабря 2026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04.03.2025 № 55 «О единовременной денежной выплате военнослужащим, проходящим военную службу по контракту в Вооруженных Силах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13.11.2025 № 270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12.01.2026 № 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бесплатного горячего питания обучающимся очной формы обучения по основным образовательным программам среднего профессионального образования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за счет средств бюджета Удмуртской Республики в государственных образовательных организациях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Бесплатным горячим питанием (один раз в учебный день) обеспечены обучающиеся очной формы обучения по основным образовательным программам среднего профессионального образования за счет средств бюджета Удмуртской Республики в государственн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ых образовательных организациях Удмуртской Республики в случае гибели (смерти) одного из родителей (законных представителей), призванных на военную службу по мобилизации в Вооруженные Силы Российской Федерации в соответствии с Указом № 647 или проходивших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28.03.1998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«О воинской обязанности и военной службе» (далее – Федеральный закон № 53-ФЗ)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заключивших контракт о добровольном содействии в выполнении задач, возложенных на Вооруженные Силы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14.04.2025 № 92 «О дополнительной мере социальной поддержки семей граждан Российской Фед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проходивших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заключивших контракт о добровольном содействии в выполнении задач, возложенных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Вооруженные Силы Российской Феде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584"/>
        </w:trPr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Приостановление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исполнения обязательств по соглашениям о предоставлении грантов в форме субсидий из бюджета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продления сроков достижения результатов предоставления грантов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1"/>
              <w:jc w:val="both"/>
              <w:tabs>
                <w:tab w:val="left" w:pos="563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о предоставлении гранта приостанавли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(или) в случае невозможности достижения результ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ата предоставления гранта без изменения размера гранта с возможностью уменьшения значения результата предоставления гранта, а также продлением сроков использования гранта или отказом от гранта по согласованию с Министерством экономики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28.07.2021 № 382 «Об утвер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ждении Порядка предоставления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постановлений Правительства Удмуртской Республики от 20.09.2021 № 498, от 28.07.2022 № 394, от 26.12.2022 № 766, от 24.04.2023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№ 262, от 12.07.2023 № 457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09.09.2024 № 476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867"/>
        </w:trPr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Материальная помощь в размере 1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000 000 руб.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отдельным категориям граждан, оказавшимся в трудной жизненной ситуации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связи с гибелью (смертью)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членов их семей, являвшихся участниками специальной военной операции, погибшими (умершими) при выполнении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специальных задач в ходе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проводимой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либо смертью вследствие увечья (ранения, травмы, контузии),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 выполнении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задач по охране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осударственной границы Российской Федерации на участках, примыкающих к районам проведения специальной военной операции,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при выполнении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задач по отражению вооруженного вторжения на территорию Курской области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либо умершими вследствие увечья (ранения, травмы, контузии), полученного при выполнении специальных задач в ходе проведения специальной военной операции, или при выполнении задач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охране Государственной границы Российской Федерации на участках, примыкающих к районам проведения специальной военной операции, или при выполнении задач по отражению вооруженного вторжения на территорию Курской области 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из числа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лиц, проходящих службу в войсках национальной гвардии Российской Федерации и имеющих специальное звание полиции;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29.04.2022 № 239 «Об утверждении Порядка оказания материальной помощи отдельным категориям граждан, оказавшимся в трудной жизненной ситуации в связи с гибелью (смертью) членов их семей»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.09.2022 </w:t>
            </w:r>
            <w:hyperlink r:id="rId14" w:tooltip="consultantplus://offline/ref=4C9CAA8BDCDC7A8515C87DCBB6BBAD26F6877D07748E120F69876EF4578A057316F838865DFE06C7620A41B8F0F3F767C23B1D7F826FEDAC565041C1d9a6E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18.01.2024 № 13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03.07.2024 № 345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11.11.2024 № 586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24.12.2024 № 707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23.04.2025 № 221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21.01.2026 № 27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spacing w:after="167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Материальная помощь в размере 500 000 руб.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имеющим место жительства на территории Удмуртской Республики на день получения увечья (ранения, травмы, контузии)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гражданам, принимающим (принимавшим) участие в специальной военной операции, проводимой на территориях Украины, Донецкой Народн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ой Республики, Луганской Народной Республики, Запорожской области и Херсонской области получившим увечье (ранение, травму, контузию) при выполнении специальных задач в ходе специальной военной операции, или в ходе непосредственного выполнения задач по охра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не государственной границы Российской Федерации на участках, примыкающих к районам проведения специальной военной операции, либо в ходе выполнения задач по отражению вооруженного вторжения на территорию Курской области подразделений Вооруженных сил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из числа: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военнослужащих, лиц, проходящих службу в войсках национальной гвардии Российской Федерации и имеющих специальное звание полиции;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ходе специальной военной операции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22.06.2022 № 323 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утверждении Порядка оказания материальной помощи военнослужащим и отдельным лицам, получившим увечье (ранение, травму, контузию) при выполнении специальных задач в ходе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color w:val="392c69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14.09.2022 </w:t>
            </w:r>
            <w:hyperlink r:id="rId15" w:tooltip="consultantplus://offline/ref=8B3A21E1BB280D18F725E8E0EE37E51DBFA5BCCA90543704EBF94C8F1B0DC7F3BAE670A0A9D5B5059F5033AEFA0CC0A29EE5ED4403C504F710AC9468RAC0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01.09.2023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588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25.06.2024 № 323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14.02.2025 № 67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23.04.2025 № 221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27.02.2026 № 128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Особенности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Установлено, что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доходы и суммы единовременной матер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иальной помощи, выплачиваемые за счет средств федерального бюджета, бюджетов субъектов Российской Федерации, местных бюджетов и иных источников гражданам, призванным на военную службу по мобилизации в Вооруженные Силы Российской Федерации в соответствии с </w:t>
            </w:r>
            <w:hyperlink r:id="rId16" w:tooltip="consultantplus://offline/ref=6342A5A6EDF32DD749AFBB8E214EA05814B10C6720EAAD6C162DDFBA2E7A59CED01669A1E71CD81E390F1FA7E51CD7A0CADB2AF50FB3E063N9SE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647,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не учитываются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при расчете среднедушевого дохода семьи и дохода одиноко проживающего гражданина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для получения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следующих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мер социальной поддержки: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оказание го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сударственной социальной помощи, в том числе на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 основании социального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контракта;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назначение ежемесячной денежной выплаты нуждающимся в поддержке семьям при рождении в семье третьего и последующих детей, установленной </w:t>
            </w:r>
            <w:hyperlink r:id="rId17" w:tooltip="consultantplus://offline/ref=99306EFB6D1C095A8B3032AF900EBCB930DADDCCE9575F37F5D6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21 ноября 2017 года № 368 «Об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установлении ежемесячной денежной выплаты нуждающимся в поддержке семьям при рождении в семье после 31 декабря 2017 года третьего и последующих детей», </w:t>
            </w:r>
            <w:hyperlink r:id="rId18" w:tooltip="consultantplus://offline/ref=99306EFB6D1C095A8B3032AF900EBCB930DADDCCE9575334F9D7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постановлением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 от 5 февраля 2018 года № 26 «Об утверждении Положения о порядке предоставления ежемесячной денежной выплаты нуждающимся в поддержке семьям при рождении в семье третьего и последующих детей»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19.12.2022 № 72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 «Об особенностях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постановления Правительства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от 27.01.2025 № 24)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Социальная выплата на приобретение жилого помещения или создание объекта индивидуального жилищного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Преимущественное право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включение в список молодых семей - участников мероприятия по обеспечению жильем молодых семей предоставляется молодым семьям, в которых один или оба супруга либо один родитель в неполной семье принимают (принимали)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16.11.2009 № 329 «О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мерах по реализации в Удмуртской Республике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(в редакции постановления Правительства Удмуртской Республики от 15.01.2025 № 6)</w:t>
            </w:r>
            <w:r>
              <w:rPr>
                <w:rFonts w:ascii="PT Astra Serif" w:hAnsi="PT Astra Serif" w:cs="Times New Roman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non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субсидии на покупку и установку газоиспользующего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оборудования, проведение  работ при социальной газификации (догазификации)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Субсидии на покупку и установку газоиспользующего оборудования, проведение работ внутри границ их земельных участк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догазификации в Удмуртской Республике предоставляются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2024 - 2026 годах в размере планируемых затрат, но не более 100000 рублей, однократно в отношении одного домовладения отдельным категориям граждан, проживающих на территории Удмуртской Республики, в том числе, гражданам, являющимся участниками специальной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оенной операции, членам семей участников специальной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оенной операции, инвалидам боевых действий, ветеранам боевых действий, членам семей погибших (умерших) инвалидов боевых действий, ветеранов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07.03.2024 № 110 «О предоставлении в 2024 - 2026 годах субсиди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льготным категориям граждан, проживающих на территории Удмуртской Республики, на покупку и установку газоиспользующего оборудования, проведение работ при социальной газификации (догазификации)» (редакции постановлений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18.04.2024 № 225,от 06.08.2024 № 414, от 31.10.2024 № 560, от 24.03.2025 № 152, от 09.02.2026 № 70 )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во временное пользование предметов первой необходимости для новорожденных детей (ребенка)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Семье (либо одинокому родителю), один из членов которой принимает (принимал) участие в специальной военной операции или выполняет (выполнял) возложенные на него задачи на территориях Украины,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предоставляются во временное пользование предметы первой необходимости для новорожденных детей (ребенка)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20.12.2024 № 698 «О создании пунктов проката предметов первой необходимости для новорожденных детей в отдельных категориях семей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рганизации кратковременного присмотра и ухода за детьми до 3 лет в организациях социального обслуживания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34" w:right="-108"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Семья (либо единственный родитель (усыновитель)), один из членов которой принимает (принимал) участие в специ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альной военной операции или выполняет (выполнял) возложенные на него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имеет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получение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социальной услуги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«Кратковременный присмотр и уход за детьми до 3 лет»: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рганизации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социального обслуживания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- комплекс мероприятий по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кратковременному (до 4 часов в день) присмотру и уходу за ребенком (детьми), связанных с организацией досуга, а также обеспечением соблюдения детьми личной гигиены и режима дня, без предоставления питания ребенку (детям), обеспечиваемых специалистами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организации социального обслуживания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дому – «Социальная няня» - комплекс мероприятий (от 2 до 6 часов в день)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 присмотру и уходу за детьми до 3 лет, связанных с организацией хозяйственно-бытового обслуживания, досуга, а также с обеспечением соблюдения ими личной гигиены и режима дня в домашних условиях по месту их проживания и (или) во время прогулки, обеспечив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аемых специалистами Организации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20.12.2024 № 693 «Об утверждении Положения об организации кратковременного присмотра и ухода за детьми до 3 лет в организациях социального обслуживания, а также на дому – «Социальная няня» для отдельных категорий семей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постановления Правительства Удмуртской Республики от 07.08.2025 № 439)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Дополнительная мера социальной поддержки в виде безвозмездного обеспечения твердым топливом (дровами) на отопление жилых помещений (домовладений)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Безвозмездное обеспечение твердым топливом (дровами) на отопление жилого помещения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(домовладения) с печным отоплением предоставляется членам семей участников специальной военной операции, призванных на военную службу по мобилизации в Вооруженные Силы Российской Федерации в соответствии с Указом № 647, заключивших контракт о добровольном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содействии в выполнении задач, возложенных на Вооруженные Силы Российской Федерации или войска национальной гвардии Российской Федерации, заключивших с 24 февраля 2022 года контракт о поступлении на военную службу по контракту и принимающих участие в спец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иальной военной операции, заключивших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принимающих участие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28.03.2025 № 174 «О дополнительной мере социальной поддержки членов семей участников специальной военной операции в виде безвозмездного обеспечения твердым топливом (дровами) на отопление жилых помещений (домовладений)»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обеспечение продуктами лечебного (энтерального) питания на дому по заключению врачей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некоторых категорий детей и взрослых, признанных нуждающимися в получении паллиативной медицинской помощи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бесплатного обеспечения продуктами лечебного (энтерального) питания на дому по заключению врачей некоторых категорий детей и взрослых, признанных нуждающимися в получении паллиативной медицинской помощи имеют ветераны боевых действий, указа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нные в абзацах втором и третьем подпункта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имеющие паллиативный статус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20.06.2025 № 340 «Об утверждении Порядка бесплатного обеспечения продуктами лечебного (энтерального) питания на дому по заключению врачей некоторых категорий детей и взрослых, признанных нуждающимися в получении паллиативной медицинской помощи»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медицинской помощи по всем видам ее оказания в медицинских организациях, находящихся на территории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Ветеранам боевых действий, принимавшим участие (содействовавшим выполнению задач) в специальной военной операции, уволенным с военной службы бесплатно в первоочередном порядке предоставляется: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первичная медико-санитарная помощь, в том числе первичная доврачебная, первичная врачебная и первичная специализированная медицинская помощь;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специализированная, в том числе высокотехнологичная, медицинская помощь;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скорая, в том числе скорая специализированная, медицинская помощь;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паллиативная медицинская помощь, в том числе паллиативная первичная медицинская помощь, включая доврачебную и врачебную медицинскую помощь, и паллиативная специализированная медиц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инская помощь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Внеочередное оказание медицинской помощи в медицинских организациях, находящихся на территории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внеочередное оказание медицинской помощи в рамках Территориальной программы государственных гарантий бесплатного оказания гражданам медицинской помощи на территории Удмуртской Республики на 2026 год и на плановый период 2027 и 2028 годов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войны;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включая ветеранов боевых действий, принимавших участие (содействовавших выполн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ению задач) в специальной военной операции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уволенным с военной службы (службы, работы);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публичной власти Донецкой Народной Республики, Луганской Народной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right="-108"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погибших (умерших) инвалидов 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йны и ветеранов боевых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новление Правительства Удмуртской Республики от 29.12.2025 № 810 «О Территориальной программе государственных гарантий бесплатного оказания гражданам медицинской помощи на территории Удмуртской Республики на 2026 год и на плановый период 2027 и 2028 годов»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постановления Правительства Удмуртской Республики от 02.04.2026 № 196)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тсрочк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уплаты арендных платежей по договорам аренды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 договор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62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34" w:firstLine="709"/>
              <w:jc w:val="both"/>
              <w:tabs>
                <w:tab w:val="left" w:pos="76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тсрочка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уплаты арендных платежей по договорам аренды имущества, находящегося в собственности Удмуртской Республики, договорам аренды земельных участков, находящихся в соб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ственности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возможность расторжения таких договоров аренды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арендаторам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являющимся физическими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том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числе индивидуальны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юридически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которых одно и то же физическое лицо является единственным учредителем (участником) юридического лица и его руководителем, в случае если указанные физические лица,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или проходят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заключили контракт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21.12.2022 № 1419-р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период проведения специальной военной операции»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распоряжени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28.02.2023 № 114-р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10.01.2025 № 4-р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путевок (направлений) 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путевки (направления) в организации отдыха детей и их оздоровления для детей, находящихся в трудной жизненной ситуации, предоставляются во внеочередном порядке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в добровольческих форми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рованиях, и лиц, проходивших (проходящих) службу в войсках национальной гвардии Российской Федерации и имеющих специальное звание полиции, погибших (умерших) при выполнении задач в ходе проведения специальной военной операции на территориях Украины, Донецк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ой Народной Республики и Луганской Народной Республики, Запорожской и Херсонской областей (далее - СВО)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путевки (направления) в организации отдыха детей и их оздоровления для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детей, находящихся в трудной жизненной ситуации, предоставляются в первоочередном порядке: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(пребываю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щих)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получивших увечья (ранения, травмы, контузии) при выполнении задач в ходе проведения СВО;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призванных на военную службу по мобилизации в Вооруженные Силы Российской Федерации, пребывающих в добровольческих формированиях, которые выполняют задачи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социальной политики и труда  Удмуртской Республики от 11.11.2021 № 241 «О Порядке предоставления путевок (направлений) в организации отдыха детей и их оздоровления для детей, находящихся в трудной жизненно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ситуации» (в редакции приказ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Министерст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ва социальной политики и труда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27.10.2022 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195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10.06.2024 № 90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  <w:t xml:space="preserve">Организации медицинской помощи участникам специальной военной 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  <w:t xml:space="preserve">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Организован «Центр психологической помощи участникам специальной военной операции и членам их семей» на функциональной основе на базе бюджетного учреждения здравоо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хранения Удмуртской Республики «Республиканский клинический центр психического здоровья Министерства здравоохранения Удмуртской Республики», обеспечена приоритетность при оказании медицинской помощи участникам специальной военной 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распоряжение Министерства здравоохранения Удмуртской Республики от 28.10.2022 № 1634 «Об организации медицинской помощи участникам специальной военной операции и членам их семей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От платы, взимаемой с родителей (законных представителей) з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«Удмуртская государственная национальная гимназия имени Кузебая Герда»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 освобождаются: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1) призванные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2) заключившие контракт о добровольном содействии в выполнении задач, возложенных на Вооруженные Силы Российской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3) заключившие с 24 февраля 2022 года контракт о поступлении на 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военную службу по контракту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4) заключившие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№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 647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 и принимающие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5) являющиеся ветеранами боевых действий и принимавшие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6) командированные в зону проведения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7) родители (законные представители), указанные в пунктах 1 - 6, получившие увечья (ранения, травмы, контузии) или заболевания в связи с участием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8) родитель (законный представитель) в случае гибели (смерти) одного из родителей (законных представителей), указанных в пунктах 1 - 6, в связи с участием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 в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риказ Министерства образования и науки Удмуртской Республики от 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02.06.2025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 № 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800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 «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Об утверждении Порядка обращения отдельных категорий граждан Российской Федерации за освобождением от платы, взимаемой с родителей (законных представителей), 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 «Удмуртская государственная национальная гимназия имени Кузебая Герда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 (в редакции приказа Министерства образования и науки Удмуртской Республики от 30.12.2025 № 2236)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  <w:t xml:space="preserve">Организация оказания специализированной медико-санитарной 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  <w:t xml:space="preserve">помощи ветеранам войн.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юджетное учреждение здравоохранения Удмуртской Республики «К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онсультативно-диагностический центр Министерства здравоохранения Удмуртской Республики» (БУЗ УР «КДЦ МЗ Удмуртской Республики) определено медицинской организацией, оказывающей первичную специализированную медико-санитарную помощь ветеранам войн. Утвержден </w:t>
            </w:r>
            <w:hyperlink r:id="rId19" w:tooltip="https://login.consultant.ru/link/?req=doc&amp;base=RLAW053&amp;n=147469&amp;dst=100016" w:history="1">
              <w:r>
                <w:rPr>
                  <w:rFonts w:ascii="PT Astra Serif" w:hAnsi="PT Astra Serif" w:cs="Times New Roman"/>
                  <w:sz w:val="24"/>
                  <w:szCs w:val="24"/>
                  <w:highlight w:val="white"/>
                </w:rPr>
                <w:t xml:space="preserve">Порядок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 направления участников боевых действий, ветеранов войн и приравненных к ним лиц в БУЗ УР «КДЦ МЗ Удмуртской Республики» с целью оказания консультативной помощи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распоряжение Министерства здравоохранения Удмуртской Республики от 19.05.2023 № 0797 «О совершенствовании оказания медицинской помощи участникам боевых действий, ветеранам войн и приравненным к ним лицам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Участие в региональной программе обучения для ветеранов и участников специальной военной операции «СВОй резерв 18»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  <w:t xml:space="preserve">Участвовать в региональной программе обучения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  <w:t xml:space="preserve">с целью подготовки высококвалифицированных, компетентных управленцев из числа участников и ветеранов специальной военной операции для последующей работы в государственных органах Удмуртской Республики и органах местного самоуправления в Удмуртской Республи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  <w:t xml:space="preserve">ке, а также учреждениях и организациях различных форм собственности имеют право граждане Российской Федерации из числа лиц, принимающих (принимавших) участие в специальной военной операции и (или) выполняющих (выполнявших) с 24 февраля 2022 года задачи по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  <w:t xml:space="preserve">отражению вооруженного вторжения на территорию Российской Федерац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  <w:t xml:space="preserve">ии, задачи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из числа проживающих в Удмуртской Республике: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  <w:t xml:space="preserve">лиц, призванных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  <w:t xml:space="preserve">лиц, проходивших на дату начала специальной военной опе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  <w:t xml:space="preserve">рации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либо службу в войсках национальной гвардии Российской Федерации;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  <w:t xml:space="preserve">лиц, заключивших в период с 24 февраля 2022 года контракт о прохождении военной службы в Вооруженных Силах Российской Федерации, войсках национальной гвардии Российской Федерации;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  <w:t xml:space="preserve">лиц, заключивших в период с 24 февраля 2022 года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  <w:t xml:space="preserve">приказ Министерства социальной политики и труда  Удмуртской Республики от 10.03.2025 № 37 «Об утверждении Порядка отбора лиц для участия в региональной программе обучения для ветеранов и участников специальной военной операции «СВОй резерв 18»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  <w:t xml:space="preserve"> (в редакции приказа Министерства социальной политики и труда  Удмуртской Республики </w:t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  <w:highlight w:val="white"/>
              </w:rPr>
              <w:t xml:space="preserve">от 31.03.2026 № 43)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  <w:t xml:space="preserve">Предоставление бесплатного зубного протезирования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Бесплатное зубное протезирование предоставляется следующим категориям ветеранов боевых действий, проживающим на территории Удмуртской Республики: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1) принимавшим участие (содействовавшим выполнению задач) в специал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уволенным с военной службы (службы, работы);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2) принимавшим в соответствии с решениями органов публичной власти Донецкой Народной Республики, Луганской Народной Респу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приказ Министерства здравоохранения Удмуртской Республики от 28.03.2025 № 11 «Об утверждении Правил бесплатного предоставления зубного протезирования ветеранам боевых действий, указанным в абзацах втором и третьем по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дпункта «в» пункта 2 Указа Президента Российской Федерации от 3 апреля 2023 года № 232 «О создании Государственного фонда поддержки участников специальной военной операции «Защитники отечества», за счет бюджетных ассигнований бюджета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  <w:t xml:space="preserve">редоставления бесплатного горячего питания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743"/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Бесплатное горячее питание предоставляется обучающимся в период их обучения по образовательным программам основного общего образования, образовательным программам среднего общего образования в образовательных организациях 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(один раз в учебный день), родители (законные представители) которых: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призваны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заключили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заключили с 24 февраля 2022 года контракт о поступлении на военную службу по контракту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заключили контракт о поступлении на военную службу по контракту, продолжающему свое действие до окончания периода частичной мобилизации в соответствии с пунктом 4 Указа № 647, и принимают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являются ветеранами боевых действий и принимали участие в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командированы в зону проведения специальной военной операции.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Данная мера социальной поддержки предоставляется в случае гибели (смерти) одного из указанных родителей (законных представителей), а также получения ими увечья (ранения, тр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авмы, контузии) или заболевания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риказ Министерства образования и науки Удмуртской 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Республики от 13.02.2026 №199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«Об утверждении Типового порядка обращения родителей (законных представителей) обучающихся по образовательным программам основного общего образов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  <w:t xml:space="preserve">ания, образовательным программам среднего общего образования в образовательных организациях, расположенных на территории Удмуртской Республики, за предоставлением дополнительной меры социальной поддержки в части предоставления бесплатного горячего питания»</w:t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white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6838" w:h="11906" w:orient="landscape"/>
      <w:pgMar w:top="709" w:right="1134" w:bottom="568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99049234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42</w:t>
        </w:r>
        <w:r>
          <w:fldChar w:fldCharType="end"/>
        </w:r>
        <w:r/>
      </w:p>
    </w:sdtContent>
  </w:sdt>
  <w:p>
    <w:pPr>
      <w:pStyle w:val="8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2"/>
    <w:next w:val="852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3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2"/>
    <w:next w:val="852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3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3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3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3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3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3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2"/>
    <w:next w:val="852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3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2"/>
    <w:next w:val="852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3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3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3"/>
    <w:link w:val="857"/>
    <w:uiPriority w:val="99"/>
  </w:style>
  <w:style w:type="character" w:styleId="707">
    <w:name w:val="Footer Char"/>
    <w:basedOn w:val="853"/>
    <w:link w:val="859"/>
    <w:uiPriority w:val="99"/>
  </w:style>
  <w:style w:type="paragraph" w:styleId="708">
    <w:name w:val="Caption"/>
    <w:basedOn w:val="852"/>
    <w:next w:val="852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53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</w:style>
  <w:style w:type="paragraph" w:styleId="861">
    <w:name w:val="Balloon Text"/>
    <w:basedOn w:val="852"/>
    <w:link w:val="86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2" w:customStyle="1">
    <w:name w:val="Текст выноски Знак"/>
    <w:basedOn w:val="853"/>
    <w:link w:val="861"/>
    <w:uiPriority w:val="99"/>
    <w:semiHidden/>
    <w:rPr>
      <w:rFonts w:ascii="Tahoma" w:hAnsi="Tahoma" w:cs="Tahoma"/>
      <w:sz w:val="16"/>
      <w:szCs w:val="16"/>
    </w:rPr>
  </w:style>
  <w:style w:type="paragraph" w:styleId="863">
    <w:name w:val="No Spacing"/>
    <w:uiPriority w:val="1"/>
    <w:qFormat/>
    <w:pPr>
      <w:spacing w:after="0" w:line="240" w:lineRule="auto"/>
    </w:pPr>
  </w:style>
  <w:style w:type="character" w:styleId="864">
    <w:name w:val="Hyperlink"/>
    <w:basedOn w:val="853"/>
    <w:uiPriority w:val="99"/>
    <w:semiHidden/>
    <w:unhideWhenUsed/>
    <w:rPr>
      <w:color w:val="0000ff" w:themeColor="hyperlink"/>
      <w:u w:val="single"/>
    </w:rPr>
  </w:style>
  <w:style w:type="paragraph" w:styleId="865">
    <w:name w:val="List Paragraph"/>
    <w:basedOn w:val="85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1EE389C0AF8615065B1E2472540ECC8A700EF6FA5D729F072EA2E16D4D64253412920D5D5DB45384714C6D4180u733I" TargetMode="External"/><Relationship Id="rId12" Type="http://schemas.openxmlformats.org/officeDocument/2006/relationships/hyperlink" Target="consultantplus://offline/ref=EDDF35E53AD3E6D94F461CE2F5582A0DD0639624D18203DF51DED4050904C0AE1E128A0465D50825B9EF200FD9E54EI" TargetMode="External"/><Relationship Id="rId13" Type="http://schemas.openxmlformats.org/officeDocument/2006/relationships/hyperlink" Target="consultantplus://offline/ref=DB357B178F0A84F0F26746C6CE32720557A4B1B4E3DFA5615A1813E55B07A5C4A043B2B95B6966416E79F7FB566F9583BE5CD59E78D8AD12iDyDH" TargetMode="External"/><Relationship Id="rId14" Type="http://schemas.openxmlformats.org/officeDocument/2006/relationships/hyperlink" Target="consultantplus://offline/ref=4C9CAA8BDCDC7A8515C87DCBB6BBAD26F6877D07748E120F69876EF4578A057316F838865DFE06C7620A41B8F0F3F767C23B1D7F826FEDAC565041C1d9a6E" TargetMode="External"/><Relationship Id="rId15" Type="http://schemas.openxmlformats.org/officeDocument/2006/relationships/hyperlink" Target="consultantplus://offline/ref=8B3A21E1BB280D18F725E8E0EE37E51DBFA5BCCA90543704EBF94C8F1B0DC7F3BAE670A0A9D5B5059F5033AEFA0CC0A29EE5ED4403C504F710AC9468RAC0F" TargetMode="External"/><Relationship Id="rId16" Type="http://schemas.openxmlformats.org/officeDocument/2006/relationships/hyperlink" Target="consultantplus://offline/ref=6342A5A6EDF32DD749AFBB8E214EA05814B10C6720EAAD6C162DDFBA2E7A59CED01669A1E71CD81E390F1FA7E51CD7A0CADB2AF50FB3E063N9SEF" TargetMode="External"/><Relationship Id="rId17" Type="http://schemas.openxmlformats.org/officeDocument/2006/relationships/hyperlink" Target="consultantplus://offline/ref=99306EFB6D1C095A8B3032AF900EBCB930DADDCCE9575F37F5D684EE9B26658D7921B115224A0CF6B4833A6CF67EC03239N4mCF" TargetMode="External"/><Relationship Id="rId18" Type="http://schemas.openxmlformats.org/officeDocument/2006/relationships/hyperlink" Target="consultantplus://offline/ref=99306EFB6D1C095A8B3032AF900EBCB930DADDCCE9575334F9D784EE9B26658D7921B115224A0CF6B4833A6CF67EC03239N4mCF" TargetMode="External"/><Relationship Id="rId19" Type="http://schemas.openxmlformats.org/officeDocument/2006/relationships/hyperlink" Target="https://login.consultant.ru/link/?req=doc&amp;base=RLAW053&amp;n=147469&amp;dst=10001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5E75F-BFFA-466C-B1FE-7545D374A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</dc:creator>
  <cp:lastModifiedBy>Вахрушева Софья</cp:lastModifiedBy>
  <cp:revision>39</cp:revision>
  <dcterms:created xsi:type="dcterms:W3CDTF">2025-07-07T04:56:00Z</dcterms:created>
  <dcterms:modified xsi:type="dcterms:W3CDTF">2026-05-18T09:07:54Z</dcterms:modified>
</cp:coreProperties>
</file>