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УР от 15.10.2025 N 599</w:t>
              <w:br/>
              <w:t xml:space="preserve">(ред. от 05.05.2026)</w:t>
              <w:br/>
              <w:t xml:space="preserve">"Об утверждении Порядка предоставления грантов в форме субсидий на реализацию молодежных проектов в сфере государственной национальной политики"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03.07.2026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УДМУРТСКОЙ РЕСПУБЛИКИ</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15 октября 2025 г. N 599</w:t>
      </w:r>
    </w:p>
    <w:p>
      <w:pPr>
        <w:pStyle w:val="2"/>
        <w:ind w:firstLine="540"/>
        <w:jc w:val="both"/>
      </w:pPr>
      <w:r>
        <w:rPr>
          <w:sz w:val="24"/>
        </w:rPr>
      </w:r>
    </w:p>
    <w:p>
      <w:pPr>
        <w:pStyle w:val="2"/>
        <w:jc w:val="center"/>
      </w:pPr>
      <w:r>
        <w:rPr>
          <w:sz w:val="24"/>
        </w:rPr>
        <w:t xml:space="preserve">ОБ УТВЕРЖДЕНИИ ПОРЯДКА ПРЕДОСТАВЛЕНИЯ ГРАНТОВ В ФОРМЕ</w:t>
      </w:r>
    </w:p>
    <w:p>
      <w:pPr>
        <w:pStyle w:val="2"/>
        <w:jc w:val="center"/>
      </w:pPr>
      <w:r>
        <w:rPr>
          <w:sz w:val="24"/>
        </w:rPr>
        <w:t xml:space="preserve">СУБСИДИЙ НА РЕАЛИЗАЦИЮ МОЛОДЕЖНЫХ ПРОЕКТОВ В СФЕРЕ</w:t>
      </w:r>
    </w:p>
    <w:p>
      <w:pPr>
        <w:pStyle w:val="2"/>
        <w:jc w:val="center"/>
      </w:pPr>
      <w:r>
        <w:rPr>
          <w:sz w:val="24"/>
        </w:rPr>
        <w:t xml:space="preserve">ГОСУДАРСТВЕННОЙ НАЦИОНАЛЬНОЙ ПОЛИТИКИ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УР от 05.05.2026 N 283)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7 статьи 78</w:t>
      </w:r>
      <w:r>
        <w:rPr>
          <w:sz w:val="24"/>
        </w:rPr>
        <w:t xml:space="preserve"> Бюджетного кодекса Российской Федерации в целях вовлечения молодых граждан в сохранение и поддержку этнокультурного и языкового многообразия народов Удмуртской Республики Правительство Удмуртской Республики постановляет:</w:t>
      </w:r>
    </w:p>
    <w:bookmarkStart w:id="13" w:name="P13"/>
    <w:bookmarkEnd w:id="13"/>
    <w:p>
      <w:pPr>
        <w:pStyle w:val="0"/>
        <w:spacing w:before="240"/>
        <w:ind w:firstLine="540"/>
        <w:jc w:val="both"/>
      </w:pPr>
      <w:r>
        <w:rPr>
          <w:sz w:val="24"/>
        </w:rPr>
        <w:t xml:space="preserve">1. Утвердить прилагаемый </w:t>
      </w:r>
      <w:hyperlink w:tooltip="ПОРЯДОК" w:anchor="P33" w:history="0">
        <w:r>
          <w:rPr>
            <w:color w:val="0000ff"/>
            <w:sz w:val="24"/>
          </w:rPr>
          <w:t xml:space="preserve">Порядок</w:t>
        </w:r>
      </w:hyperlink>
      <w:r>
        <w:rPr>
          <w:sz w:val="24"/>
        </w:rPr>
        <w:t xml:space="preserve"> предоставления грантов в форме субсидий на реализацию молодежных проектов в сфере государственной национальной политики.</w:t>
      </w:r>
    </w:p>
    <w:p>
      <w:pPr>
        <w:pStyle w:val="0"/>
        <w:spacing w:before="240"/>
        <w:ind w:firstLine="540"/>
        <w:jc w:val="both"/>
      </w:pPr>
      <w:r>
        <w:rPr>
          <w:sz w:val="24"/>
        </w:rPr>
        <w:t xml:space="preserve">2. Установить, что отбор получателей грантов в форме субсидий на реализацию молодежных проектов в сфере государственной национальной политики осуществляется в соответствии с Порядком предоставления грантов в форме субсидий на реализацию молодежных проектов в сфере государственной национальной политики, утвержденным </w:t>
      </w:r>
      <w:hyperlink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anchor="P13" w:history="0">
        <w:r>
          <w:rPr>
            <w:color w:val="0000ff"/>
            <w:sz w:val="24"/>
          </w:rPr>
          <w:t xml:space="preserve">пунктом 1</w:t>
        </w:r>
      </w:hyperlink>
      <w:r>
        <w:rPr>
          <w:sz w:val="24"/>
        </w:rPr>
        <w:t xml:space="preserve"> настоящего постановления.</w:t>
      </w:r>
    </w:p>
    <w:p>
      <w:pPr>
        <w:pStyle w:val="0"/>
        <w:spacing w:before="240"/>
        <w:ind w:firstLine="540"/>
        <w:jc w:val="both"/>
      </w:pPr>
      <w:r>
        <w:rPr>
          <w:sz w:val="24"/>
        </w:rPr>
        <w:t xml:space="preserve">3. Признать утратившими силу:</w:t>
      </w:r>
    </w:p>
    <w:p>
      <w:pPr>
        <w:pStyle w:val="0"/>
        <w:spacing w:before="240"/>
        <w:ind w:firstLine="540"/>
        <w:jc w:val="both"/>
      </w:pPr>
      <w:r>
        <w:rPr>
          <w:sz w:val="24"/>
        </w:rPr>
        <w:t xml:space="preserve">постановление</w:t>
      </w:r>
      <w:r>
        <w:rPr>
          <w:sz w:val="24"/>
        </w:rPr>
        <w:t xml:space="preserve"> Правительства Удмуртской Республики от 23 мая 2023 года N 340 "Об утверждении Порядка предоставления грантов в форме субсидий на реализацию молодежных проектов в сфере государственной национальной политики";</w:t>
      </w:r>
    </w:p>
    <w:p>
      <w:pPr>
        <w:pStyle w:val="0"/>
        <w:spacing w:before="240"/>
        <w:ind w:firstLine="540"/>
        <w:jc w:val="both"/>
      </w:pPr>
      <w:r>
        <w:rPr>
          <w:sz w:val="24"/>
        </w:rPr>
        <w:t xml:space="preserve">постановление</w:t>
      </w:r>
      <w:r>
        <w:rPr>
          <w:sz w:val="24"/>
        </w:rPr>
        <w:t xml:space="preserve"> Правительства Удмуртской Республики от 20 ноября 2023 года N 750 "О внесении изменений в постановление Правительства Удмуртской Республики от 23 мая 2023 года N 340 "Об утверждении Порядка предоставления грантов в форме субсидий на реализацию молодежных проектов в сфере государственной национальной политики".</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Удмуртской Республики</w:t>
      </w:r>
    </w:p>
    <w:p>
      <w:pPr>
        <w:pStyle w:val="0"/>
        <w:jc w:val="right"/>
      </w:pPr>
      <w:r>
        <w:rPr>
          <w:sz w:val="24"/>
        </w:rPr>
        <w:t xml:space="preserve">Р.В.ЕФИМОВ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15 октября 2025 г. N 599</w:t>
      </w:r>
    </w:p>
    <w:p>
      <w:pPr>
        <w:pStyle w:val="0"/>
        <w:jc w:val="both"/>
      </w:pPr>
      <w:r>
        <w:rPr>
          <w:sz w:val="24"/>
        </w:rPr>
      </w:r>
    </w:p>
    <w:bookmarkStart w:id="33" w:name="P33"/>
    <w:bookmarkEnd w:id="33"/>
    <w:p>
      <w:pPr>
        <w:pStyle w:val="2"/>
        <w:jc w:val="center"/>
      </w:pPr>
      <w:r>
        <w:rPr>
          <w:sz w:val="24"/>
        </w:rPr>
        <w:t xml:space="preserve">ПОРЯДОК</w:t>
      </w:r>
    </w:p>
    <w:p>
      <w:pPr>
        <w:pStyle w:val="2"/>
        <w:jc w:val="center"/>
      </w:pPr>
      <w:r>
        <w:rPr>
          <w:sz w:val="24"/>
        </w:rPr>
        <w:t xml:space="preserve">ПРЕДОСТАВЛЕНИЯ ГРАНТОВ В ФОРМЕ СУБСИДИЙ НА РЕАЛИЗАЦИЮ</w:t>
      </w:r>
    </w:p>
    <w:p>
      <w:pPr>
        <w:pStyle w:val="2"/>
        <w:jc w:val="center"/>
      </w:pPr>
      <w:r>
        <w:rPr>
          <w:sz w:val="24"/>
        </w:rPr>
        <w:t xml:space="preserve">МОЛОДЕЖНЫХ ПРОЕКТОВ В СФЕРЕ ГОСУДАРСТВЕННОЙ</w:t>
      </w:r>
    </w:p>
    <w:p>
      <w:pPr>
        <w:pStyle w:val="2"/>
        <w:jc w:val="center"/>
      </w:pPr>
      <w:r>
        <w:rPr>
          <w:sz w:val="24"/>
        </w:rPr>
        <w:t xml:space="preserve">НАЦИОНАЛЬНОЙ ПОЛИТИКИ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УР от 05.05.2026 N 283)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bookmarkStart w:id="42" w:name="P42"/>
    <w:bookmarkEnd w:id="42"/>
    <w:p>
      <w:pPr>
        <w:pStyle w:val="0"/>
        <w:ind w:firstLine="540"/>
        <w:jc w:val="both"/>
      </w:pPr>
      <w:r>
        <w:rPr>
          <w:sz w:val="24"/>
        </w:rPr>
        <w:t xml:space="preserve">1. Настоящий Порядок в целях достижения показателей государственной </w:t>
      </w:r>
      <w:r>
        <w:rPr>
          <w:sz w:val="24"/>
        </w:rPr>
        <w:t xml:space="preserve">программы</w:t>
      </w:r>
      <w:r>
        <w:rPr>
          <w:sz w:val="24"/>
        </w:rPr>
        <w:t xml:space="preserve"> Удмуртской Республики "Сохранение, изучение и развитие государственных языков Удмуртской Республики и иных языков народов Удмуртской Республики", утвержденной постановлением Правительства Удмуртской Республики от 20 ноября 2023 года N 748, определяет цели, порядок и условия предоставления и распределения грантов в форме субсидий из бюджета Удмуртской Республики физическим лицам в целях финансового обеспечения затрат на реализацию молодежных проектов в сфере государственной национальной политики, направленных на сохранение и популяризацию государственных языков и иных языков народов Удмуртской Республики (далее соответственно - гранты, проекты).</w:t>
      </w:r>
    </w:p>
    <w:bookmarkStart w:id="43" w:name="P43"/>
    <w:bookmarkEnd w:id="43"/>
    <w:p>
      <w:pPr>
        <w:pStyle w:val="0"/>
        <w:spacing w:before="240"/>
        <w:ind w:firstLine="540"/>
        <w:jc w:val="both"/>
      </w:pPr>
      <w:r>
        <w:rPr>
          <w:sz w:val="24"/>
        </w:rPr>
        <w:t xml:space="preserve">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исходя из наилучших условий достижения результата предоставления грантов (далее - отбор).</w:t>
      </w:r>
    </w:p>
    <w:p>
      <w:pPr>
        <w:pStyle w:val="0"/>
        <w:spacing w:before="240"/>
        <w:ind w:firstLine="540"/>
        <w:jc w:val="both"/>
      </w:pPr>
      <w:r>
        <w:rPr>
          <w:sz w:val="24"/>
        </w:rPr>
        <w:t xml:space="preserve">В случае отсутствия технической возможности использования системы "Электронный бюджет" отбор проводится Министерством с учетом особенностей, установленных настоящим Порядком для указанного случая.</w:t>
      </w:r>
    </w:p>
    <w:p>
      <w:pPr>
        <w:pStyle w:val="0"/>
        <w:spacing w:before="240"/>
        <w:ind w:firstLine="540"/>
        <w:jc w:val="both"/>
      </w:pPr>
      <w:r>
        <w:rPr>
          <w:sz w:val="24"/>
        </w:rPr>
        <w:t xml:space="preserve">3. В настоящем Порядке используются следующие понятия:</w:t>
      </w:r>
    </w:p>
    <w:p>
      <w:pPr>
        <w:pStyle w:val="0"/>
        <w:spacing w:before="240"/>
        <w:ind w:firstLine="540"/>
        <w:jc w:val="both"/>
      </w:pPr>
      <w:r>
        <w:rPr>
          <w:sz w:val="24"/>
        </w:rPr>
        <w:t xml:space="preserve">1) молодежный проект - комплекс взаимосвязанных молодежных мероприятий и инициатив, результатом которых является создание продуктов (ресурсов) на государственных языках Удмуртской Республики и иных языках народов Удмуртской Республики, с целью изучения, популяризации и сохранения языкового и культурного наследия народов Удмуртии и повышения интереса молодого поколения к изучению языков;</w:t>
      </w:r>
    </w:p>
    <w:p>
      <w:pPr>
        <w:pStyle w:val="0"/>
        <w:spacing w:before="240"/>
        <w:ind w:firstLine="540"/>
        <w:jc w:val="both"/>
      </w:pPr>
      <w:r>
        <w:rPr>
          <w:sz w:val="24"/>
        </w:rPr>
        <w:t xml:space="preserve">2) продукт (ресурс) - материальный объект, услуга или другое решение, созданное с целью изучения, популяризации и сохранения языкового и культурного наследия народов Удмуртии и повышения интереса молодого поколения к изучению языков.</w:t>
      </w:r>
    </w:p>
    <w:p>
      <w:pPr>
        <w:pStyle w:val="0"/>
        <w:spacing w:before="240"/>
        <w:ind w:firstLine="540"/>
        <w:jc w:val="both"/>
      </w:pPr>
      <w:r>
        <w:rPr>
          <w:sz w:val="24"/>
        </w:rPr>
        <w:t xml:space="preserve">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на плановый период, является Министерство.</w:t>
      </w:r>
    </w:p>
    <w:p>
      <w:pPr>
        <w:pStyle w:val="0"/>
        <w:spacing w:before="240"/>
        <w:ind w:firstLine="540"/>
        <w:jc w:val="both"/>
      </w:pPr>
      <w:r>
        <w:rPr>
          <w:sz w:val="24"/>
        </w:rPr>
        <w:t xml:space="preserve">Финансирование расходов, связанных с предоставлением грантов, осуществляется Министерством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bookmarkStart w:id="50" w:name="P50"/>
    <w:bookmarkEnd w:id="50"/>
    <w:p>
      <w:pPr>
        <w:pStyle w:val="0"/>
        <w:spacing w:before="240"/>
        <w:ind w:firstLine="540"/>
        <w:jc w:val="both"/>
      </w:pPr>
      <w:r>
        <w:rPr>
          <w:sz w:val="24"/>
        </w:rPr>
        <w:t xml:space="preserve">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w:t>
      </w:r>
    </w:p>
    <w:p>
      <w:pPr>
        <w:pStyle w:val="0"/>
        <w:spacing w:before="240"/>
        <w:ind w:firstLine="540"/>
        <w:jc w:val="both"/>
      </w:pPr>
      <w:r>
        <w:rPr>
          <w:sz w:val="24"/>
        </w:rPr>
        <w:t xml:space="preserve">6. Информация о грантах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(далее - единый портал)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6 в ред. </w:t>
      </w:r>
      <w:r>
        <w:rPr>
          <w:sz w:val="24"/>
        </w:rPr>
        <w:t xml:space="preserve">постановления</w:t>
      </w:r>
      <w:r>
        <w:rPr>
          <w:sz w:val="24"/>
        </w:rPr>
        <w:t xml:space="preserve"> Правительства УР от 05.05.2026 N 283)</w:t>
      </w:r>
    </w:p>
    <w:p>
      <w:pPr>
        <w:pStyle w:val="0"/>
        <w:jc w:val="both"/>
      </w:pPr>
      <w:r>
        <w:rPr>
          <w:sz w:val="24"/>
        </w:rPr>
      </w:r>
    </w:p>
    <w:p>
      <w:pPr>
        <w:pStyle w:val="2"/>
        <w:jc w:val="center"/>
        <w:outlineLvl w:val="1"/>
      </w:pPr>
      <w:r>
        <w:rPr>
          <w:sz w:val="24"/>
        </w:rPr>
        <w:t xml:space="preserve">II. Порядок проведения отбора получателей грантов</w:t>
      </w:r>
    </w:p>
    <w:p>
      <w:pPr>
        <w:pStyle w:val="2"/>
        <w:jc w:val="center"/>
      </w:pPr>
      <w:r>
        <w:rPr>
          <w:sz w:val="24"/>
        </w:rPr>
        <w:t xml:space="preserve">для предоставления гранта</w:t>
      </w:r>
    </w:p>
    <w:p>
      <w:pPr>
        <w:pStyle w:val="0"/>
        <w:jc w:val="both"/>
      </w:pPr>
      <w:r>
        <w:rPr>
          <w:sz w:val="24"/>
        </w:rPr>
      </w:r>
    </w:p>
    <w:p>
      <w:pPr>
        <w:pStyle w:val="0"/>
        <w:ind w:firstLine="540"/>
        <w:jc w:val="both"/>
      </w:pPr>
      <w:r>
        <w:rPr>
          <w:sz w:val="24"/>
        </w:rPr>
        <w:t xml:space="preserve">7. При наличии лимитов бюджетных обязательств, доведенных в соответствующем финансовом году на предоставление грантов, Министерство не позднее 3 календарных дней до даты начала приема от заявителей заявок на участие в отборе (далее - заявки) размещает на едином портале (при отсутствии технической возможности - на своем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использования системы "Электронный бюджет"), подписанное усиленной квалифицированной электронной подписью министра национальной политики Удмуртской Республики (далее - министр) или уполномоченного им лица, с указанием:</w:t>
      </w:r>
    </w:p>
    <w:p>
      <w:pPr>
        <w:pStyle w:val="0"/>
        <w:spacing w:before="240"/>
        <w:ind w:firstLine="540"/>
        <w:jc w:val="both"/>
      </w:pPr>
      <w:r>
        <w:rPr>
          <w:sz w:val="24"/>
        </w:rPr>
        <w:t xml:space="preserve">1) способа проведения отбора, указанного в </w:t>
      </w:r>
      <w:hyperlink w:tooltip="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способом конкурса исходя из наилучших условий достижения результата предоставления грантов (далее - отбор)." w:anchor="P43" w:history="0">
        <w:r>
          <w:rPr>
            <w:color w:val="0000ff"/>
            <w:sz w:val="24"/>
          </w:rPr>
          <w:t xml:space="preserve">пункте 2</w:t>
        </w:r>
      </w:hyperlink>
      <w:r>
        <w:rPr>
          <w:sz w:val="24"/>
        </w:rPr>
        <w:t xml:space="preserve"> настоящего Порядка;</w:t>
      </w:r>
    </w:p>
    <w:p>
      <w:pPr>
        <w:pStyle w:val="0"/>
        <w:spacing w:before="240"/>
        <w:ind w:firstLine="540"/>
        <w:jc w:val="both"/>
      </w:pPr>
      <w:r>
        <w:rPr>
          <w:sz w:val="24"/>
        </w:rPr>
        <w:t xml:space="preserve">2) сроков проведения отбора;</w:t>
      </w:r>
    </w:p>
    <w:p>
      <w:pPr>
        <w:pStyle w:val="0"/>
        <w:spacing w:before="240"/>
        <w:ind w:firstLine="540"/>
        <w:jc w:val="both"/>
      </w:pPr>
      <w:r>
        <w:rPr>
          <w:sz w:val="24"/>
        </w:rPr>
        <w:t xml:space="preserve">3) даты и времени начала подачи, а также даты и времени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ind w:firstLine="540"/>
        <w:jc w:val="both"/>
      </w:pPr>
      <w:r>
        <w:rPr>
          <w:sz w:val="24"/>
        </w:rPr>
        <w:t xml:space="preserve">4) наименования, места нахождения, почтового адреса, адреса электронной почты, контактного телефона Министерства;</w:t>
      </w:r>
    </w:p>
    <w:p>
      <w:pPr>
        <w:pStyle w:val="0"/>
        <w:spacing w:before="240"/>
        <w:ind w:firstLine="540"/>
        <w:jc w:val="both"/>
      </w:pPr>
      <w:r>
        <w:rPr>
          <w:sz w:val="24"/>
        </w:rPr>
        <w:t xml:space="preserve">5) результата предоставления грантов в соответствии с </w:t>
      </w:r>
      <w:hyperlink w:tooltip="24. Результатом предоставления гранта является количество реализованных молодежных проектов в сфере государственной национальной политики (единиц)." w:anchor="P294" w:history="0">
        <w:r>
          <w:rPr>
            <w:color w:val="0000ff"/>
            <w:sz w:val="24"/>
          </w:rPr>
          <w:t xml:space="preserve">пунктом 24</w:t>
        </w:r>
      </w:hyperlink>
      <w:r>
        <w:rPr>
          <w:sz w:val="24"/>
        </w:rPr>
        <w:t xml:space="preserve"> настоящего Порядка;</w:t>
      </w:r>
    </w:p>
    <w:p>
      <w:pPr>
        <w:pStyle w:val="0"/>
        <w:spacing w:before="240"/>
        <w:ind w:firstLine="540"/>
        <w:jc w:val="both"/>
      </w:pPr>
      <w:r>
        <w:rPr>
          <w:sz w:val="24"/>
        </w:rPr>
        <w:t xml:space="preserve">6) характеристик результатов предоставления грантов в соответствии с </w:t>
      </w:r>
      <w:hyperlink w:tooltip="25. Характеристиками результата предоставления гранта являются:" w:anchor="P295" w:history="0">
        <w:r>
          <w:rPr>
            <w:color w:val="0000ff"/>
            <w:sz w:val="24"/>
          </w:rPr>
          <w:t xml:space="preserve">пунктом 25</w:t>
        </w:r>
      </w:hyperlink>
      <w:r>
        <w:rPr>
          <w:sz w:val="24"/>
        </w:rPr>
        <w:t xml:space="preserve"> настоящего Порядка;</w:t>
      </w:r>
    </w:p>
    <w:p>
      <w:pPr>
        <w:pStyle w:val="0"/>
        <w:spacing w:before="240"/>
        <w:ind w:firstLine="540"/>
        <w:jc w:val="both"/>
      </w:pPr>
      <w:r>
        <w:rPr>
          <w:sz w:val="24"/>
        </w:rPr>
        <w:t xml:space="preserve">7) доменного имени и (или) указателей системы "Электронный бюджет" в информационно-телекоммуникационной сети "Интернет";</w:t>
      </w:r>
    </w:p>
    <w:p>
      <w:pPr>
        <w:pStyle w:val="0"/>
        <w:spacing w:before="240"/>
        <w:ind w:firstLine="540"/>
        <w:jc w:val="both"/>
      </w:pPr>
      <w:r>
        <w:rPr>
          <w:sz w:val="24"/>
        </w:rPr>
        <w:t xml:space="preserve">8) требований к заявителям в соответствии с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и к перечню документов, представляемых ими для подтверждения соответствия указанным требованиям;</w:t>
      </w:r>
    </w:p>
    <w:p>
      <w:pPr>
        <w:pStyle w:val="0"/>
        <w:spacing w:before="240"/>
        <w:ind w:firstLine="540"/>
        <w:jc w:val="both"/>
      </w:pPr>
      <w:r>
        <w:rPr>
          <w:sz w:val="24"/>
        </w:rPr>
        <w:t xml:space="preserve">9) категории получателей грантов в соответствии с </w:t>
      </w:r>
      <w:hyperlink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anchor="P50" w:history="0">
        <w:r>
          <w:rPr>
            <w:color w:val="0000ff"/>
            <w:sz w:val="24"/>
          </w:rPr>
          <w:t xml:space="preserve">пунктом 5</w:t>
        </w:r>
      </w:hyperlink>
      <w:r>
        <w:rPr>
          <w:sz w:val="24"/>
        </w:rPr>
        <w:t xml:space="preserve"> настоящего Порядка и критериев оценки, показателей критериев оценки подаваемых ими заявок в соответствии с </w:t>
      </w:r>
      <w:hyperlink w:tooltip="11) комиссия в течение 15 рабочих дней с даты размещения на едином портале (в случае проведения отбора без использования системы &quot;Электронный бюджет&quot;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 w:anchor="P175" w:history="0">
        <w:r>
          <w:rPr>
            <w:color w:val="0000ff"/>
            <w:sz w:val="24"/>
          </w:rPr>
          <w:t xml:space="preserve">подпунктом 11 пункта 16</w:t>
        </w:r>
      </w:hyperlink>
      <w:r>
        <w:rPr>
          <w:sz w:val="24"/>
        </w:rPr>
        <w:t xml:space="preserve"> настоящего Порядка;</w:t>
      </w:r>
    </w:p>
    <w:p>
      <w:pPr>
        <w:pStyle w:val="0"/>
        <w:spacing w:before="240"/>
        <w:ind w:firstLine="540"/>
        <w:jc w:val="both"/>
      </w:pPr>
      <w:r>
        <w:rPr>
          <w:sz w:val="24"/>
        </w:rPr>
        <w:t xml:space="preserve">10) порядка подачи заявок и требований, предъявляемых к форме и содержанию заявок, подаваемых заявителями, в соответствии с </w:t>
      </w:r>
      <w:hyperlink w:tooltip="13. Требования, предъявляемые к форме и содержанию заявок, подаваемых заявителями:" w:anchor="P104" w:history="0">
        <w:r>
          <w:rPr>
            <w:color w:val="0000ff"/>
            <w:sz w:val="24"/>
          </w:rPr>
          <w:t xml:space="preserve">пунктом 13</w:t>
        </w:r>
      </w:hyperlink>
      <w:r>
        <w:rPr>
          <w:sz w:val="24"/>
        </w:rPr>
        <w:t xml:space="preserve"> настоящего Порядка;</w:t>
      </w:r>
    </w:p>
    <w:p>
      <w:pPr>
        <w:pStyle w:val="0"/>
        <w:spacing w:before="240"/>
        <w:ind w:firstLine="540"/>
        <w:jc w:val="both"/>
      </w:pPr>
      <w:r>
        <w:rPr>
          <w:sz w:val="24"/>
        </w:rPr>
        <w:t xml:space="preserve">11) порядка отзыва заявок заявителями, порядка возврата ими заявок, определяющего в том числе основания для возврата заявок, порядка внесения изменений в заявки;</w:t>
      </w:r>
    </w:p>
    <w:p>
      <w:pPr>
        <w:pStyle w:val="0"/>
        <w:spacing w:before="240"/>
        <w:ind w:firstLine="540"/>
        <w:jc w:val="both"/>
      </w:pPr>
      <w:r>
        <w:rPr>
          <w:sz w:val="24"/>
        </w:rPr>
        <w:t xml:space="preserve">12) правил рассмотрения и оценки заявок в соответствии с </w:t>
      </w:r>
      <w:hyperlink w:tooltip="16. Правила рассмотрения заявок:" w:anchor="P136" w:history="0">
        <w:r>
          <w:rPr>
            <w:color w:val="0000ff"/>
            <w:sz w:val="24"/>
          </w:rPr>
          <w:t xml:space="preserve">пунктом 16</w:t>
        </w:r>
      </w:hyperlink>
      <w:r>
        <w:rPr>
          <w:sz w:val="24"/>
        </w:rPr>
        <w:t xml:space="preserve"> настоящего Порядка;</w:t>
      </w:r>
    </w:p>
    <w:p>
      <w:pPr>
        <w:pStyle w:val="0"/>
        <w:spacing w:before="240"/>
        <w:ind w:firstLine="540"/>
        <w:jc w:val="both"/>
      </w:pPr>
      <w:r>
        <w:rPr>
          <w:sz w:val="24"/>
        </w:rPr>
        <w:t xml:space="preserve">13) порядка возврата заявок на доработку, определяющего в том числе:</w:t>
      </w:r>
    </w:p>
    <w:p>
      <w:pPr>
        <w:pStyle w:val="0"/>
        <w:spacing w:before="240"/>
        <w:ind w:firstLine="540"/>
        <w:jc w:val="both"/>
      </w:pPr>
      <w:r>
        <w:rPr>
          <w:sz w:val="24"/>
        </w:rPr>
        <w:t xml:space="preserve">а) возможность или отсутствие возможности возврата заявок на доработку;</w:t>
      </w:r>
    </w:p>
    <w:p>
      <w:pPr>
        <w:pStyle w:val="0"/>
        <w:spacing w:before="240"/>
        <w:ind w:firstLine="540"/>
        <w:jc w:val="both"/>
      </w:pPr>
      <w:r>
        <w:rPr>
          <w:sz w:val="24"/>
        </w:rPr>
        <w:t xml:space="preserve">б) срок, не позднее которого заявитель должен направить скорректированную заявку после возврата ее на доработку;</w:t>
      </w:r>
    </w:p>
    <w:p>
      <w:pPr>
        <w:pStyle w:val="0"/>
        <w:spacing w:before="240"/>
        <w:ind w:firstLine="540"/>
        <w:jc w:val="both"/>
      </w:pPr>
      <w:r>
        <w:rPr>
          <w:sz w:val="24"/>
        </w:rPr>
        <w:t xml:space="preserve">в) основания для возврата заявки на доработку;</w:t>
      </w:r>
    </w:p>
    <w:p>
      <w:pPr>
        <w:pStyle w:val="0"/>
        <w:spacing w:before="240"/>
        <w:ind w:firstLine="540"/>
        <w:jc w:val="both"/>
      </w:pPr>
      <w:r>
        <w:rPr>
          <w:sz w:val="24"/>
        </w:rPr>
        <w:t xml:space="preserve">14) порядка отклонения заявок, а также информации об основаниях их отклонения в соответствии с </w:t>
      </w:r>
      <w:hyperlink w:tooltip="6) комиссия отклоняет заявки в случае:" w:anchor="P155" w:history="0">
        <w:r>
          <w:rPr>
            <w:color w:val="0000ff"/>
            <w:sz w:val="24"/>
          </w:rPr>
          <w:t xml:space="preserve">подпунктом 6 пункта 16</w:t>
        </w:r>
      </w:hyperlink>
      <w:r>
        <w:rPr>
          <w:sz w:val="24"/>
        </w:rPr>
        <w:t xml:space="preserve"> настоящего Порядка;</w:t>
      </w:r>
    </w:p>
    <w:p>
      <w:pPr>
        <w:pStyle w:val="0"/>
        <w:spacing w:before="240"/>
        <w:ind w:firstLine="540"/>
        <w:jc w:val="both"/>
      </w:pPr>
      <w:r>
        <w:rPr>
          <w:sz w:val="24"/>
        </w:rPr>
        <w:t xml:space="preserve">15) порядка оценки заявок, включающего критерии оценки, показатели критериев оценки, и их весовое значение в общей оценке, необходимой для предоставления заявителем информации по каждому критерию оценки, сведений, документов и материалов, подтверждающих такую информацию, сроков оценки заявок, а также информации об участии комиссии, указанной в </w:t>
      </w:r>
      <w:hyperlink w:tooltip="8.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заявителей для предоставления грантов (далее - комиссия)." w:anchor="P81" w:history="0">
        <w:r>
          <w:rPr>
            <w:color w:val="0000ff"/>
            <w:sz w:val="24"/>
          </w:rPr>
          <w:t xml:space="preserve">пункте 8</w:t>
        </w:r>
      </w:hyperlink>
      <w:r>
        <w:rPr>
          <w:sz w:val="24"/>
        </w:rPr>
        <w:t xml:space="preserve"> настоящего Порядка, в рассмотрении и в оценке заявок;</w:t>
      </w:r>
    </w:p>
    <w:p>
      <w:pPr>
        <w:pStyle w:val="0"/>
        <w:spacing w:before="240"/>
        <w:ind w:firstLine="540"/>
        <w:jc w:val="both"/>
      </w:pPr>
      <w:r>
        <w:rPr>
          <w:sz w:val="24"/>
        </w:rPr>
        <w:t xml:space="preserve">16) объема распределяемых грантов в рамках отбора, порядка расчета размера гранта, правил распределения грантов по результатам отбора, максимального (предельного) размера грантов, предоставляемых победителям отбора;</w:t>
      </w:r>
    </w:p>
    <w:p>
      <w:pPr>
        <w:pStyle w:val="0"/>
        <w:spacing w:before="240"/>
        <w:ind w:firstLine="540"/>
        <w:jc w:val="both"/>
      </w:pPr>
      <w:r>
        <w:rPr>
          <w:sz w:val="24"/>
        </w:rPr>
        <w:t xml:space="preserve">17) порядка предоставления заявителям разъяснений положений объявления о проведении отбора, даты начала и окончания срока такого предоставления;</w:t>
      </w:r>
    </w:p>
    <w:p>
      <w:pPr>
        <w:pStyle w:val="0"/>
        <w:spacing w:before="240"/>
        <w:ind w:firstLine="540"/>
        <w:jc w:val="both"/>
      </w:pPr>
      <w:r>
        <w:rPr>
          <w:sz w:val="24"/>
        </w:rPr>
        <w:t xml:space="preserve">18) срока, в течение которого заявители - победители отбора должны подписать соглашения о предоставлении гранта;</w:t>
      </w:r>
    </w:p>
    <w:p>
      <w:pPr>
        <w:pStyle w:val="0"/>
        <w:spacing w:before="240"/>
        <w:ind w:firstLine="540"/>
        <w:jc w:val="both"/>
      </w:pPr>
      <w:r>
        <w:rPr>
          <w:sz w:val="24"/>
        </w:rPr>
        <w:t xml:space="preserve">19) условий признания заявителей - победителей отбора уклонившимися от заключения соглашения о предоставлении гранта;</w:t>
      </w:r>
    </w:p>
    <w:p>
      <w:pPr>
        <w:pStyle w:val="0"/>
        <w:spacing w:before="240"/>
        <w:ind w:firstLine="540"/>
        <w:jc w:val="both"/>
      </w:pPr>
      <w:r>
        <w:rPr>
          <w:sz w:val="24"/>
        </w:rPr>
        <w:t xml:space="preserve">20) сроков размещения протокола подведения итогов отбора на едином портале (в случае отсутствия технической возможности использования единого портала - на официальном сайте Министерства), которые не могут быть позднее 14-го календарного дня, следующего за днем определения победителя отбора.</w:t>
      </w:r>
    </w:p>
    <w:bookmarkStart w:id="81" w:name="P81"/>
    <w:bookmarkEnd w:id="81"/>
    <w:p>
      <w:pPr>
        <w:pStyle w:val="0"/>
        <w:spacing w:before="240"/>
        <w:ind w:firstLine="540"/>
        <w:jc w:val="both"/>
      </w:pPr>
      <w:r>
        <w:rPr>
          <w:sz w:val="24"/>
        </w:rPr>
        <w:t xml:space="preserve">8.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заявителей для предоставления грантов (далее - комиссия).</w:t>
      </w:r>
    </w:p>
    <w:p>
      <w:pPr>
        <w:pStyle w:val="0"/>
        <w:spacing w:before="240"/>
        <w:ind w:firstLine="540"/>
        <w:jc w:val="both"/>
      </w:pPr>
      <w:r>
        <w:rPr>
          <w:sz w:val="24"/>
        </w:rPr>
        <w:t xml:space="preserve">Полномочия комиссии и порядок ее деятельности определены в </w:t>
      </w:r>
      <w:hyperlink w:tooltip="ПОЛОЖЕНИЕ" w:anchor="P349" w:history="0">
        <w:r>
          <w:rPr>
            <w:color w:val="0000ff"/>
            <w:sz w:val="24"/>
          </w:rPr>
          <w:t xml:space="preserve">приложении 1</w:t>
        </w:r>
      </w:hyperlink>
      <w:r>
        <w:rPr>
          <w:sz w:val="24"/>
        </w:rPr>
        <w:t xml:space="preserve"> к настоящему Порядку.</w:t>
      </w:r>
    </w:p>
    <w:p>
      <w:pPr>
        <w:pStyle w:val="0"/>
        <w:spacing w:before="240"/>
        <w:ind w:firstLine="540"/>
        <w:jc w:val="both"/>
      </w:pPr>
      <w:r>
        <w:rPr>
          <w:sz w:val="24"/>
        </w:rPr>
        <w:t xml:space="preserve">Состав комиссии утверждается приказом Министерства и размещается на едином портале.</w:t>
      </w:r>
    </w:p>
    <w:bookmarkStart w:id="84" w:name="P84"/>
    <w:bookmarkEnd w:id="84"/>
    <w:p>
      <w:pPr>
        <w:pStyle w:val="0"/>
        <w:spacing w:before="240"/>
        <w:ind w:firstLine="540"/>
        <w:jc w:val="both"/>
      </w:pPr>
      <w:r>
        <w:rPr>
          <w:sz w:val="24"/>
        </w:rPr>
        <w:t xml:space="preserve">9. В случае принятия решения об отмене отбора Министерство не позднее чем за 1 рабочий день до даты окончания срока подачи заявок размещает на едином портале (в случае отсутствия технической возможности использования единого портала - на официальном сайте) объявление об отмене отбора, сформированное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использования системы "Электронный бюджет"), подписанное усиленной квалифицированной электронной подписью министра (уполномоченного им лица), содержащее информацию о причинах отмены отбора.</w:t>
      </w:r>
    </w:p>
    <w:p>
      <w:pPr>
        <w:pStyle w:val="0"/>
        <w:spacing w:before="240"/>
        <w:ind w:firstLine="540"/>
        <w:jc w:val="both"/>
      </w:pPr>
      <w:r>
        <w:rPr>
          <w:sz w:val="24"/>
        </w:rPr>
        <w:t xml:space="preserve">Заявители, подавшие заявки, информируются об отмене проведения отбора в системе "Электронный бюджет" (в случае отсутствия технической возможности использования единого портала - на официальном сайте).</w:t>
      </w:r>
    </w:p>
    <w:p>
      <w:pPr>
        <w:pStyle w:val="0"/>
        <w:spacing w:before="240"/>
        <w:ind w:firstLine="540"/>
        <w:jc w:val="both"/>
      </w:pPr>
      <w:r>
        <w:rPr>
          <w:sz w:val="24"/>
        </w:rPr>
        <w:t xml:space="preserve">Отбор считается отмененным со дня размещения объявления о его отмене на едином портале (в случае отсутствия технической возможности использования единого портала - на официальном сайте).</w:t>
      </w:r>
    </w:p>
    <w:p>
      <w:pPr>
        <w:pStyle w:val="0"/>
        <w:spacing w:before="240"/>
        <w:ind w:firstLine="540"/>
        <w:jc w:val="both"/>
      </w:pPr>
      <w:r>
        <w:rPr>
          <w:sz w:val="24"/>
        </w:rPr>
        <w:t xml:space="preserve">После окончания срока отмены проведения отбора в соответствии с </w:t>
      </w:r>
      <w:hyperlink w:tooltip="9. В случае принятия решения об отмене отбора Министерство не позднее чем за 1 рабочий день до даты окончания срока подачи заявок размещает на едином портале (в случае отсутствия технической возможности использования единого портала - на официальном сайте) объявление об отмене отбора, сформированное в электронной форме посредством заполнения соответствующих экранных форм веб-интерфейса системы &quot;Электронный бюджет&quot; (при наличии технической возможности использования системы &quot;Электронный бюджет&quot;), подписанн..." w:anchor="P84" w:history="0">
        <w:r>
          <w:rPr>
            <w:color w:val="0000ff"/>
            <w:sz w:val="24"/>
          </w:rPr>
          <w:t xml:space="preserve">абзацем первым</w:t>
        </w:r>
      </w:hyperlink>
      <w:r>
        <w:rPr>
          <w:sz w:val="24"/>
        </w:rPr>
        <w:t xml:space="preserve"> настоящего пункта и до заключения соглашений о предоставлении гранта с заявителями - победителями отбора Министерство может отменить проведение отбора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ind w:firstLine="540"/>
        <w:jc w:val="both"/>
      </w:pPr>
      <w:r>
        <w:rPr>
          <w:sz w:val="24"/>
        </w:rPr>
        <w:t xml:space="preserve">10. Министерство не позднее наступления даты окончания приема заявок вправе внести изменения в объявление о проведении отбора с соблюдением следующих условий:</w:t>
      </w:r>
    </w:p>
    <w:p>
      <w:pPr>
        <w:pStyle w:val="0"/>
        <w:spacing w:before="240"/>
        <w:ind w:firstLine="540"/>
        <w:jc w:val="both"/>
      </w:pPr>
      <w:r>
        <w:rPr>
          <w:sz w:val="24"/>
        </w:rPr>
        <w:t xml:space="preserve">1) срок подачи заявок должен быть продлен таким образом, чтобы со дня, следующего за днем внесения изменений в объявление о проведении отбора, и до даты окончания приема заявок указанный срок составлял не менее 10 календарных дней;</w:t>
      </w:r>
    </w:p>
    <w:p>
      <w:pPr>
        <w:pStyle w:val="0"/>
        <w:spacing w:before="240"/>
        <w:ind w:firstLine="540"/>
        <w:jc w:val="both"/>
      </w:pPr>
      <w:r>
        <w:rPr>
          <w:sz w:val="24"/>
        </w:rPr>
        <w:t xml:space="preserve">2) изменения, вносимые в объявление о проведении отбора, не должны изменять способ отбора, указанный в </w:t>
      </w:r>
      <w:hyperlink w:tooltip="2. Гранты предоставляются по результатам отбора, проводимого Министерством национальной политики Удмуртской Республики (далее - Министерство) при наличии технической возможности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способом конкурса исходя из наилучших условий достижения результата предоставления грантов (далее - отбор)." w:anchor="P43" w:history="0">
        <w:r>
          <w:rPr>
            <w:color w:val="0000ff"/>
            <w:sz w:val="24"/>
          </w:rPr>
          <w:t xml:space="preserve">пункте 2</w:t>
        </w:r>
      </w:hyperlink>
      <w:r>
        <w:rPr>
          <w:sz w:val="24"/>
        </w:rPr>
        <w:t xml:space="preserve"> настоящего Порядка;</w:t>
      </w:r>
    </w:p>
    <w:p>
      <w:pPr>
        <w:pStyle w:val="0"/>
        <w:spacing w:before="240"/>
        <w:ind w:firstLine="540"/>
        <w:jc w:val="both"/>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pPr>
        <w:pStyle w:val="0"/>
        <w:spacing w:before="240"/>
        <w:ind w:firstLine="540"/>
        <w:jc w:val="both"/>
      </w:pPr>
      <w:r>
        <w:rPr>
          <w:sz w:val="24"/>
        </w:rPr>
        <w:t xml:space="preserve">4) заявители, подавшие заявки, уведомляются Министерством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(в случае отсутствия технической возможности использования единого портала - на официальном сайте).</w:t>
      </w:r>
    </w:p>
    <w:p>
      <w:pPr>
        <w:pStyle w:val="0"/>
        <w:spacing w:before="240"/>
        <w:ind w:firstLine="540"/>
        <w:jc w:val="both"/>
      </w:pPr>
      <w:r>
        <w:rPr>
          <w:sz w:val="24"/>
        </w:rPr>
        <w:t xml:space="preserve">11. Взаимодействие Министерства с заявителями при проведении отбора осуществляется с использованием документов в электронной форме в системе "Электронный бюджет", доступ к которой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ind w:firstLine="540"/>
        <w:jc w:val="both"/>
      </w:pPr>
      <w:r>
        <w:rPr>
          <w:sz w:val="24"/>
        </w:rPr>
        <w:t xml:space="preserve">В случае отсутствия технической возможности использования системы "Электронный бюджет" взаимодействие Министерства с заявителями при проведении отбора осуществляется с использованием документов, представляемых ими на бумажном носителе.</w:t>
      </w:r>
    </w:p>
    <w:bookmarkStart w:id="95" w:name="P95"/>
    <w:bookmarkEnd w:id="95"/>
    <w:p>
      <w:pPr>
        <w:pStyle w:val="0"/>
        <w:spacing w:before="240"/>
        <w:ind w:firstLine="540"/>
        <w:jc w:val="both"/>
      </w:pPr>
      <w:r>
        <w:rPr>
          <w:sz w:val="24"/>
        </w:rPr>
        <w:t xml:space="preserve">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w:t>
      </w:r>
    </w:p>
    <w:p>
      <w:pPr>
        <w:pStyle w:val="0"/>
        <w:spacing w:before="240"/>
        <w:ind w:firstLine="540"/>
        <w:jc w:val="both"/>
      </w:pPr>
      <w:r>
        <w:rPr>
          <w:sz w:val="24"/>
        </w:rPr>
        <w:t xml:space="preserve">1)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ind w:firstLine="540"/>
        <w:jc w:val="both"/>
      </w:pPr>
      <w:r>
        <w:rPr>
          <w:sz w:val="24"/>
        </w:rPr>
        <w:t xml:space="preserve">2) заявитель не находится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ind w:firstLine="540"/>
        <w:jc w:val="both"/>
      </w:pPr>
      <w:r>
        <w:rPr>
          <w:sz w:val="24"/>
        </w:rPr>
        <w:t xml:space="preserve">3) заявитель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anchor="P13" w:history="0">
        <w:r>
          <w:rPr>
            <w:color w:val="0000ff"/>
            <w:sz w:val="24"/>
          </w:rPr>
          <w:t xml:space="preserve">пунктом 1</w:t>
        </w:r>
      </w:hyperlink>
      <w:r>
        <w:rPr>
          <w:sz w:val="24"/>
        </w:rPr>
        <w:t xml:space="preserve"> настоящего Порядка;</w:t>
      </w:r>
    </w:p>
    <w:p>
      <w:pPr>
        <w:pStyle w:val="0"/>
        <w:spacing w:before="240"/>
        <w:ind w:firstLine="540"/>
        <w:jc w:val="both"/>
      </w:pPr>
      <w:r>
        <w:rPr>
          <w:sz w:val="24"/>
        </w:rPr>
        <w:t xml:space="preserve">4) заявитель не является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spacing w:before="240"/>
        <w:ind w:firstLine="540"/>
        <w:jc w:val="both"/>
      </w:pPr>
      <w:r>
        <w:rPr>
          <w:sz w:val="24"/>
        </w:rPr>
        <w:t xml:space="preserve">5) у заявителя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ind w:firstLine="540"/>
        <w:jc w:val="both"/>
      </w:pPr>
      <w:r>
        <w:rPr>
          <w:sz w:val="24"/>
        </w:rPr>
        <w:t xml:space="preserve">6) у заявителя отсутствует просроченная задолженность по возврату в бюджет Удмуртской Республики иных грантов, бюджетных инвестиций и иная просроченная (неурегулированная) задолженность по денежным обязательствам перед Удмуртской Республикой;</w:t>
      </w:r>
    </w:p>
    <w:p>
      <w:pPr>
        <w:pStyle w:val="0"/>
        <w:spacing w:before="240"/>
        <w:ind w:firstLine="540"/>
        <w:jc w:val="both"/>
      </w:pPr>
      <w:r>
        <w:rPr>
          <w:sz w:val="24"/>
        </w:rPr>
        <w:t xml:space="preserve">7)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(пп. 7 введен </w:t>
      </w:r>
      <w:r>
        <w:rPr>
          <w:sz w:val="24"/>
        </w:rPr>
        <w:t xml:space="preserve">постановлением</w:t>
      </w:r>
      <w:r>
        <w:rPr>
          <w:sz w:val="24"/>
        </w:rPr>
        <w:t xml:space="preserve"> Правительства УР от 05.05.2026 N 283)</w:t>
      </w:r>
    </w:p>
    <w:bookmarkStart w:id="104" w:name="P104"/>
    <w:bookmarkEnd w:id="104"/>
    <w:p>
      <w:pPr>
        <w:pStyle w:val="0"/>
        <w:spacing w:before="240"/>
        <w:ind w:firstLine="540"/>
        <w:jc w:val="both"/>
      </w:pPr>
      <w:r>
        <w:rPr>
          <w:sz w:val="24"/>
        </w:rPr>
        <w:t xml:space="preserve">13. Требования, предъявляемые к форме и содержанию заявок, подаваемых заявителями:</w:t>
      </w:r>
    </w:p>
    <w:p>
      <w:pPr>
        <w:pStyle w:val="0"/>
        <w:spacing w:before="240"/>
        <w:ind w:firstLine="540"/>
        <w:jc w:val="both"/>
      </w:pPr>
      <w:r>
        <w:rPr>
          <w:sz w:val="24"/>
        </w:rPr>
        <w:t xml:space="preserve">1) заявка подается в соответствии с требованиями и в сроки, указанные в объявлении о проведении отбора.</w:t>
      </w:r>
    </w:p>
    <w:p>
      <w:pPr>
        <w:pStyle w:val="0"/>
        <w:spacing w:before="240"/>
        <w:ind w:firstLine="540"/>
        <w:jc w:val="both"/>
      </w:pPr>
      <w:r>
        <w:rPr>
          <w:sz w:val="24"/>
        </w:rPr>
        <w:t xml:space="preserve">В случае проведения отбора с использованием системы "Электронный бюджет" датой представления заявки считается день подписания заявки заявителем с присвоением ей регистрационного номера в системе "Электронный бюджет".</w:t>
      </w:r>
    </w:p>
    <w:p>
      <w:pPr>
        <w:pStyle w:val="0"/>
        <w:spacing w:before="240"/>
        <w:ind w:firstLine="540"/>
        <w:jc w:val="both"/>
      </w:pPr>
      <w:r>
        <w:rPr>
          <w:sz w:val="24"/>
        </w:rPr>
        <w:t xml:space="preserve">В случае проведения отбора без использования системы "Электронный бюджет" датой представления заявки считается день ее поступления в Министерство;</w:t>
      </w:r>
    </w:p>
    <w:p>
      <w:pPr>
        <w:pStyle w:val="0"/>
        <w:spacing w:before="240"/>
        <w:ind w:firstLine="540"/>
        <w:jc w:val="both"/>
      </w:pPr>
      <w:r>
        <w:rPr>
          <w:sz w:val="24"/>
        </w:rPr>
        <w:t xml:space="preserve">2) в случае проведения отбора с использованием системы "Электронный бюджет" заявка формируется заявителем в электронной форме посредством заполнения соответствующих экранных форм веб-интерфейса системы "Электронный бюджет" и предоставляется вместе с электронными копиями (документов на бумажном носителе, преобразованных в электронную форму путем сканирования) следующих документов (далее - документы):</w:t>
      </w:r>
    </w:p>
    <w:p>
      <w:pPr>
        <w:pStyle w:val="0"/>
        <w:spacing w:before="240"/>
        <w:ind w:firstLine="540"/>
        <w:jc w:val="both"/>
      </w:pPr>
      <w:r>
        <w:rPr>
          <w:sz w:val="24"/>
        </w:rPr>
        <w:t xml:space="preserve">а) </w:t>
      </w:r>
      <w:hyperlink w:tooltip="                                  ЗАЯВКА" w:anchor="P407" w:history="0">
        <w:r>
          <w:rPr>
            <w:color w:val="0000ff"/>
            <w:sz w:val="24"/>
          </w:rPr>
          <w:t xml:space="preserve">заявки</w:t>
        </w:r>
      </w:hyperlink>
      <w:r>
        <w:rPr>
          <w:sz w:val="24"/>
        </w:rPr>
        <w:t xml:space="preserve"> на участие в конкурсе по форме согласно приложению 2 к настоящему Порядку;</w:t>
      </w:r>
    </w:p>
    <w:p>
      <w:pPr>
        <w:pStyle w:val="0"/>
        <w:spacing w:before="240"/>
        <w:ind w:firstLine="540"/>
        <w:jc w:val="both"/>
      </w:pPr>
      <w:r>
        <w:rPr>
          <w:sz w:val="24"/>
        </w:rPr>
        <w:t xml:space="preserve">б) проекта по форме согласно </w:t>
      </w:r>
      <w:hyperlink w:tooltip="МОЛОДЕЖНЫЙ ПРОЕКТ" w:anchor="P464" w:history="0">
        <w:r>
          <w:rPr>
            <w:color w:val="0000ff"/>
            <w:sz w:val="24"/>
          </w:rPr>
          <w:t xml:space="preserve">приложению 3</w:t>
        </w:r>
      </w:hyperlink>
      <w:r>
        <w:rPr>
          <w:sz w:val="24"/>
        </w:rPr>
        <w:t xml:space="preserve"> к настоящему Порядку;</w:t>
      </w:r>
    </w:p>
    <w:p>
      <w:pPr>
        <w:pStyle w:val="0"/>
        <w:spacing w:before="240"/>
        <w:ind w:firstLine="540"/>
        <w:jc w:val="both"/>
      </w:pPr>
      <w:r>
        <w:rPr>
          <w:sz w:val="24"/>
        </w:rPr>
        <w:t xml:space="preserve">в) копии писем или иных документов от юридических лиц, индивидуальных предпринимателей, органов государственной власти или органов местного самоуправления, подтверждающих их намерения о сотрудничестве с заявителем в процессе реализации им проекта и об оказании заявителю информационной, консультационной, организационной, материальной и (или) иной поддержки при реализации такого проекта. Указанные в настоящем абзаце письма или иные документы представляются заявителем при их наличии;</w:t>
      </w:r>
    </w:p>
    <w:p>
      <w:pPr>
        <w:pStyle w:val="0"/>
        <w:spacing w:before="240"/>
        <w:ind w:firstLine="540"/>
        <w:jc w:val="both"/>
      </w:pPr>
      <w:r>
        <w:rPr>
          <w:sz w:val="24"/>
        </w:rPr>
        <w:t xml:space="preserve">г) подтверждения согласия на публикацию (размещение) в информационно-телекоммуникационной сети "Интернет" информации о заявителе, о подаваемой им заявке, а также иной информации о заявителе, связанной с отбором и результатом предоставления гранта (подается посредством заполнения некоммерческой организацией соответствующих экранных форм веб-интерфейса системы "Электронный бюджет");</w:t>
      </w:r>
    </w:p>
    <w:p>
      <w:pPr>
        <w:pStyle w:val="0"/>
        <w:spacing w:before="240"/>
        <w:ind w:firstLine="540"/>
        <w:jc w:val="both"/>
      </w:pPr>
      <w:r>
        <w:rPr>
          <w:sz w:val="24"/>
        </w:rPr>
        <w:t xml:space="preserve">д) подтверждение согласия на обработку персональных данных (подается заявителем посредством заполнения соответствующих экранных форм веб-интерфейса системы "Электронный бюджет");</w:t>
      </w:r>
    </w:p>
    <w:p>
      <w:pPr>
        <w:pStyle w:val="0"/>
        <w:spacing w:before="240"/>
        <w:ind w:firstLine="540"/>
        <w:jc w:val="both"/>
      </w:pPr>
      <w:r>
        <w:rPr>
          <w:sz w:val="24"/>
        </w:rPr>
        <w:t xml:space="preserve">3) в случае проведения отбора без использования системы "Электронный бюджет" заявитель представляет на бумажном носителе в Министерство </w:t>
      </w:r>
      <w:hyperlink w:tooltip="                                  ЗАЯВКА" w:anchor="P407" w:history="0">
        <w:r>
          <w:rPr>
            <w:color w:val="0000ff"/>
            <w:sz w:val="24"/>
          </w:rPr>
          <w:t xml:space="preserve">заявку</w:t>
        </w:r>
      </w:hyperlink>
      <w:r>
        <w:rPr>
          <w:sz w:val="24"/>
        </w:rPr>
        <w:t xml:space="preserve"> на участие в конкурсе согласно приложению 2 к настоящему Порядку (для целей применения настоящего Порядка указанная заявка считается равнозначной заявке, представляемой с использованием системы "Электронный бюджет") с приложением следующих документов:</w:t>
      </w:r>
    </w:p>
    <w:p>
      <w:pPr>
        <w:pStyle w:val="0"/>
        <w:spacing w:before="240"/>
        <w:ind w:firstLine="540"/>
        <w:jc w:val="both"/>
      </w:pPr>
      <w:r>
        <w:rPr>
          <w:sz w:val="24"/>
        </w:rPr>
        <w:t xml:space="preserve">а) </w:t>
      </w:r>
      <w:hyperlink w:tooltip="МОЛОДЕЖНЫЙ ПРОЕКТ" w:anchor="P464" w:history="0">
        <w:r>
          <w:rPr>
            <w:color w:val="0000ff"/>
            <w:sz w:val="24"/>
          </w:rPr>
          <w:t xml:space="preserve">проекта</w:t>
        </w:r>
      </w:hyperlink>
      <w:r>
        <w:rPr>
          <w:sz w:val="24"/>
        </w:rPr>
        <w:t xml:space="preserve"> по форме согласно приложению 3 к настоящему Порядку;</w:t>
      </w:r>
    </w:p>
    <w:p>
      <w:pPr>
        <w:pStyle w:val="0"/>
        <w:spacing w:before="240"/>
        <w:ind w:firstLine="540"/>
        <w:jc w:val="both"/>
      </w:pPr>
      <w:r>
        <w:rPr>
          <w:sz w:val="24"/>
        </w:rPr>
        <w:t xml:space="preserve">б) копий писем или иных документов от юридических лиц, индивидуальных предпринимателей, органов государственной власти или органов местного самоуправления, подтверждающих их намерения о сотрудничестве с заявителем в процессе реализации им проекта и об оказании заявителю информационной, консультационной, организационной, материальной и (или) иной поддержки при реализации такого проекта. Указанные в настоящем абзаце письма или иные документы представляются заявителем при их наличии;</w:t>
      </w:r>
    </w:p>
    <w:p>
      <w:pPr>
        <w:pStyle w:val="0"/>
        <w:spacing w:before="240"/>
        <w:ind w:firstLine="540"/>
        <w:jc w:val="both"/>
      </w:pPr>
      <w:r>
        <w:rPr>
          <w:sz w:val="24"/>
        </w:rPr>
        <w:t xml:space="preserve">в) согласия на обработку персональных данных в соответствии со </w:t>
      </w:r>
      <w:r>
        <w:rPr>
          <w:sz w:val="24"/>
        </w:rPr>
        <w:t xml:space="preserve">статьей 9</w:t>
      </w:r>
      <w:r>
        <w:rPr>
          <w:sz w:val="24"/>
        </w:rPr>
        <w:t xml:space="preserve"> Федерального закона от 27 июля 2006 года N 152-ФЗ "О персональных данных" (далее - Федеральный закон "О персональных данных");</w:t>
      </w:r>
    </w:p>
    <w:p>
      <w:pPr>
        <w:pStyle w:val="0"/>
        <w:spacing w:before="240"/>
        <w:ind w:firstLine="540"/>
        <w:jc w:val="both"/>
      </w:pPr>
      <w:r>
        <w:rPr>
          <w:sz w:val="24"/>
        </w:rPr>
        <w:t xml:space="preserve">г) согласия на обработку персональных данных, разрешенных субъектом персональных данных для распространения (в части фамилии, имени и отчества заявителя для их указания в протоколе вскрытия заявок, протоколе рассмотрения заявок и протоколе подведения итогов отбора, размещаемых в соответствии с настоящим Порядком на едином портале и официальном сайте Министерства) в соответствии со </w:t>
      </w:r>
      <w:r>
        <w:rPr>
          <w:sz w:val="24"/>
        </w:rPr>
        <w:t xml:space="preserve">статьей 10.1</w:t>
      </w:r>
      <w:r>
        <w:rPr>
          <w:sz w:val="24"/>
        </w:rPr>
        <w:t xml:space="preserve"> Федерального закона "О персональных данных";</w:t>
      </w:r>
    </w:p>
    <w:p>
      <w:pPr>
        <w:pStyle w:val="0"/>
        <w:spacing w:before="240"/>
        <w:ind w:firstLine="540"/>
        <w:jc w:val="both"/>
      </w:pPr>
      <w:r>
        <w:rPr>
          <w:sz w:val="24"/>
        </w:rPr>
        <w:t xml:space="preserve">4) в случае проведения отбора с использованием системы "Электронный бюджет"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ind w:firstLine="540"/>
        <w:jc w:val="both"/>
      </w:pPr>
      <w:r>
        <w:rPr>
          <w:sz w:val="24"/>
        </w:rPr>
        <w:t xml:space="preserve">В случае проведения отбора без использования системы "Электронный бюджет" заявка на участие в конкурсе подписывается заявителем собственноручно;</w:t>
      </w:r>
    </w:p>
    <w:p>
      <w:pPr>
        <w:pStyle w:val="0"/>
        <w:spacing w:before="240"/>
        <w:ind w:firstLine="540"/>
        <w:jc w:val="both"/>
      </w:pPr>
      <w:r>
        <w:rPr>
          <w:sz w:val="24"/>
        </w:rPr>
        <w:t xml:space="preserve">5)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pPr>
        <w:pStyle w:val="0"/>
        <w:spacing w:before="240"/>
        <w:ind w:firstLine="540"/>
        <w:jc w:val="both"/>
      </w:pPr>
      <w:r>
        <w:rPr>
          <w:sz w:val="24"/>
        </w:rPr>
        <w:t xml:space="preserve">6) в заявке и прилагаемых к ней документах (копиях документов), составленных по унифицированным формам, иным формам или по формам, установленным в приложениях к настоящему Порядку, должны быть заполнены все установленные такими формами реквизиты (даты, подписи, отметки о выборе предложенного варианта и т.п.), за исключением случаев, когда возможность оставить незаполненным какой-либо из реквизитов предусмотрена самой формой или инструкцией (разъяснением, иным документом) по ее заполнению (при наличии такой инструкции, разъяснения, иного документа);</w:t>
      </w:r>
    </w:p>
    <w:p>
      <w:pPr>
        <w:pStyle w:val="0"/>
        <w:spacing w:before="240"/>
        <w:ind w:firstLine="540"/>
        <w:jc w:val="both"/>
      </w:pPr>
      <w:r>
        <w:rPr>
          <w:sz w:val="24"/>
        </w:rPr>
        <w:t xml:space="preserve">7) в случае проведения отбора с использованием системы "Электронный бюджет" заявка и прилагаемые к ней документы (копии документов) также должны соответствовать следующим требованиям:</w:t>
      </w:r>
    </w:p>
    <w:p>
      <w:pPr>
        <w:pStyle w:val="0"/>
        <w:spacing w:before="240"/>
        <w:ind w:firstLine="540"/>
        <w:jc w:val="both"/>
      </w:pPr>
      <w:r>
        <w:rPr>
          <w:sz w:val="24"/>
        </w:rPr>
        <w:t xml:space="preserve">а) электронные копии документов и материалы, прилагаемые к заявке,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ind w:firstLine="540"/>
        <w:jc w:val="both"/>
      </w:pPr>
      <w:r>
        <w:rPr>
          <w:sz w:val="24"/>
        </w:rPr>
        <w:t xml:space="preserve">б) электронные образы документов должны полностью воспроизводить информацию, содержащуюся в их подлинниках, и не должны содержать помарок, нечетких символов, искажений или иных дефектов, влекущих невозможность установления информации (ее части), содержащейся в подлиннике такого документа;</w:t>
      </w:r>
    </w:p>
    <w:p>
      <w:pPr>
        <w:pStyle w:val="0"/>
        <w:spacing w:before="240"/>
        <w:ind w:firstLine="540"/>
        <w:jc w:val="both"/>
      </w:pPr>
      <w:r>
        <w:rPr>
          <w:sz w:val="24"/>
        </w:rPr>
        <w:t xml:space="preserve">8) Министерство не вправе требовать от заявителей представления документов и информации в целях подтверждения их соответствия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
    <w:p>
      <w:pPr>
        <w:pStyle w:val="0"/>
        <w:spacing w:before="240"/>
        <w:ind w:firstLine="540"/>
        <w:jc w:val="both"/>
      </w:pPr>
      <w:r>
        <w:rPr>
          <w:sz w:val="24"/>
        </w:rPr>
        <w:t xml:space="preserve">9) в случае проведения отбора с использованием системы "Электронный бюджет" при подаче заявки заявитель осуществляет проставление в экранных формах веб-интерфейса системы "Электронный бюджет" отметок о соответствии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за исключением случая, если в указанной системе присутствует также техническая возможность автоматической проверки заявителя на соответствие таким требованиям.</w:t>
      </w:r>
    </w:p>
    <w:bookmarkStart w:id="128" w:name="P128"/>
    <w:bookmarkEnd w:id="128"/>
    <w:p>
      <w:pPr>
        <w:pStyle w:val="0"/>
        <w:spacing w:before="240"/>
        <w:ind w:firstLine="540"/>
        <w:jc w:val="both"/>
      </w:pPr>
      <w:r>
        <w:rPr>
          <w:sz w:val="24"/>
        </w:rPr>
        <w:t xml:space="preserve">14.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 В случае проведения отбора без использования системы "Электронный бюджет" указанные запросы направляются в Министерство на бумажном носителе или по электронной почте, указанной в объявлении о проведении отбора.</w:t>
      </w:r>
    </w:p>
    <w:bookmarkStart w:id="129" w:name="P129"/>
    <w:bookmarkEnd w:id="129"/>
    <w:p>
      <w:pPr>
        <w:pStyle w:val="0"/>
        <w:spacing w:before="240"/>
        <w:ind w:firstLine="540"/>
        <w:jc w:val="both"/>
      </w:pPr>
      <w:r>
        <w:rPr>
          <w:sz w:val="24"/>
        </w:rPr>
        <w:t xml:space="preserve">Министерство в ответ на запрос, указанный в </w:t>
      </w:r>
      <w:hyperlink w:tooltip="14.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В случае проведения отбора без использования системы &quot;Электронный бюджет&quot; указанные запросы направляются в Министерство на бумажном носителе или по электронной почте, указанной в объя..." w:anchor="P128" w:history="0">
        <w:r>
          <w:rPr>
            <w:color w:val="0000ff"/>
            <w:sz w:val="24"/>
          </w:rPr>
          <w:t xml:space="preserve">абзаце первом</w:t>
        </w:r>
      </w:hyperlink>
      <w:r>
        <w:rPr>
          <w:sz w:val="24"/>
        </w:rPr>
        <w:t xml:space="preserve">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"Электронный бюджет" соответствующего разъяснения. В случае проведения отбора без использования системы "Электронный бюджет" такое разъяснение размещается Министерством в открытом доступе на официальном сайте.</w:t>
      </w:r>
    </w:p>
    <w:p>
      <w:pPr>
        <w:pStyle w:val="0"/>
        <w:spacing w:before="240"/>
        <w:ind w:firstLine="540"/>
        <w:jc w:val="both"/>
      </w:pPr>
      <w:r>
        <w:rPr>
          <w:sz w:val="24"/>
        </w:rPr>
        <w:t xml:space="preserve">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ind w:firstLine="540"/>
        <w:jc w:val="both"/>
      </w:pPr>
      <w:r>
        <w:rPr>
          <w:sz w:val="24"/>
        </w:rPr>
        <w:t xml:space="preserve">Доступ к разъяснению, формируемому в системе "Электронный бюджет" в соответствии с </w:t>
      </w:r>
      <w:hyperlink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quot;Электронный бюджет&quot; соответствующего разъяснения. В случае проведения отбора без использования системы &quot;Электронный бюджет&quot; такое разъяснение размещается Министерством в открытом доступе на официальном сайте." w:anchor="P129" w:history="0">
        <w:r>
          <w:rPr>
            <w:color w:val="0000ff"/>
            <w:sz w:val="24"/>
          </w:rPr>
          <w:t xml:space="preserve">абзацем вторым</w:t>
        </w:r>
      </w:hyperlink>
      <w:r>
        <w:rPr>
          <w:sz w:val="24"/>
        </w:rPr>
        <w:t xml:space="preserve"> настоящего пункта, предоставляется всем заявителям, участвующим в отборе.</w:t>
      </w:r>
    </w:p>
    <w:p>
      <w:pPr>
        <w:pStyle w:val="0"/>
        <w:spacing w:before="240"/>
        <w:ind w:firstLine="540"/>
        <w:jc w:val="both"/>
      </w:pPr>
      <w:r>
        <w:rPr>
          <w:sz w:val="24"/>
        </w:rPr>
        <w:t xml:space="preserve">15. Внесение изменений в заявку или отзыв заявки осуществляется заявителем не позднее 1 рабочего дня до дня завершения подачи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w:t>
      </w:r>
      <w:hyperlink w:tooltip="13. Требования, предъявляемые к форме и содержанию заявок, подаваемых заявителями:" w:anchor="P104" w:history="0">
        <w:r>
          <w:rPr>
            <w:color w:val="0000ff"/>
            <w:sz w:val="24"/>
          </w:rPr>
          <w:t xml:space="preserve">пункте 13</w:t>
        </w:r>
      </w:hyperlink>
      <w:r>
        <w:rPr>
          <w:sz w:val="24"/>
        </w:rPr>
        <w:t xml:space="preserve"> настоящего Порядка.</w:t>
      </w:r>
    </w:p>
    <w:p>
      <w:pPr>
        <w:pStyle w:val="0"/>
        <w:spacing w:before="240"/>
        <w:ind w:firstLine="540"/>
        <w:jc w:val="both"/>
      </w:pPr>
      <w:r>
        <w:rPr>
          <w:sz w:val="24"/>
        </w:rPr>
        <w:t xml:space="preserve">Возврат заявок на доработку осуществляется по основаниям, указанным в объявлении о проведении отбора, и применяется до окончания срока подачи заявок, указанного в объявлении о проведении отбора, в равной мере ко всем заявителям, при рассмотрении заявок которых выявлены основания для их возврата на доработку.</w:t>
      </w:r>
    </w:p>
    <w:p>
      <w:pPr>
        <w:pStyle w:val="0"/>
        <w:spacing w:before="240"/>
        <w:ind w:firstLine="540"/>
        <w:jc w:val="both"/>
      </w:pPr>
      <w:r>
        <w:rPr>
          <w:sz w:val="24"/>
        </w:rPr>
        <w:t xml:space="preserve">Решение Министерства о возврате заявок на доработку доводится до заявителя с использованием системы "Электронный бюджет" (в случае проведения отбора без использования системы "Электронный бюджет" - посредством направления уведомления по адресу электронной почты, указанному заявителем в заявке) в течение 1 рабочего дня со дня принятия указанного решения с указанием для каждой заявки оснований ее возврата и положений заявки, нуждающихся в доработке.</w:t>
      </w:r>
    </w:p>
    <w:p>
      <w:pPr>
        <w:pStyle w:val="0"/>
        <w:spacing w:before="240"/>
        <w:ind w:firstLine="540"/>
        <w:jc w:val="both"/>
      </w:pPr>
      <w:r>
        <w:rPr>
          <w:sz w:val="24"/>
        </w:rPr>
        <w:t xml:space="preserve">Направление в Министерство доработанных заявок осуществляется в порядке, указанном в </w:t>
      </w:r>
      <w:hyperlink w:tooltip="13. Требования, предъявляемые к форме и содержанию заявок, подаваемых заявителями:" w:anchor="P104" w:history="0">
        <w:r>
          <w:rPr>
            <w:color w:val="0000ff"/>
            <w:sz w:val="24"/>
          </w:rPr>
          <w:t xml:space="preserve">пункте 13</w:t>
        </w:r>
      </w:hyperlink>
      <w:r>
        <w:rPr>
          <w:sz w:val="24"/>
        </w:rPr>
        <w:t xml:space="preserve"> настоящего Порядка, не позднее срока подачи заявок, указанного в объявлении о проведении отбора.</w:t>
      </w:r>
    </w:p>
    <w:bookmarkStart w:id="136" w:name="P136"/>
    <w:bookmarkEnd w:id="136"/>
    <w:p>
      <w:pPr>
        <w:pStyle w:val="0"/>
        <w:spacing w:before="240"/>
        <w:ind w:firstLine="540"/>
        <w:jc w:val="both"/>
      </w:pPr>
      <w:r>
        <w:rPr>
          <w:sz w:val="24"/>
        </w:rPr>
        <w:t xml:space="preserve">16. Правила рассмотрения заявок:</w:t>
      </w:r>
    </w:p>
    <w:p>
      <w:pPr>
        <w:pStyle w:val="0"/>
        <w:spacing w:before="240"/>
        <w:ind w:firstLine="540"/>
        <w:jc w:val="both"/>
      </w:pPr>
      <w:r>
        <w:rPr>
          <w:sz w:val="24"/>
        </w:rPr>
        <w:t xml:space="preserve">1) в случае проведения отбора с использованием системы "Электронный бюджет" не позднее 1-го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и членам комиссии открывается доступ к поданным заявителями заявкам для их рассмотрения и оценки.</w:t>
      </w:r>
    </w:p>
    <w:p>
      <w:pPr>
        <w:pStyle w:val="0"/>
        <w:spacing w:before="240"/>
        <w:ind w:firstLine="540"/>
        <w:jc w:val="both"/>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комиссии открывается доступ в системе "Электронный бюджет" к поданным заявкам для их рассмотрения и оценки;</w:t>
      </w:r>
    </w:p>
    <w:p>
      <w:pPr>
        <w:pStyle w:val="0"/>
        <w:spacing w:before="240"/>
        <w:ind w:firstLine="540"/>
        <w:jc w:val="both"/>
      </w:pPr>
      <w:r>
        <w:rPr>
          <w:sz w:val="24"/>
        </w:rPr>
        <w:t xml:space="preserve">2) в случае проведения отбора без использования системы "Электронный бюджет" не позднее 1-го рабочего дня, следующего за днем окончания срока подачи заявок, поступившие заявки считаются вскрытыми.</w:t>
      </w:r>
    </w:p>
    <w:p>
      <w:pPr>
        <w:pStyle w:val="0"/>
        <w:spacing w:before="240"/>
        <w:ind w:firstLine="540"/>
        <w:jc w:val="both"/>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заявки считаются вскрытыми;</w:t>
      </w:r>
    </w:p>
    <w:p>
      <w:pPr>
        <w:pStyle w:val="0"/>
        <w:spacing w:before="240"/>
        <w:ind w:firstLine="540"/>
        <w:jc w:val="both"/>
      </w:pPr>
      <w:r>
        <w:rPr>
          <w:sz w:val="24"/>
        </w:rPr>
        <w:t xml:space="preserve">3) комиссия не позднее 1-го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40"/>
        <w:ind w:firstLine="540"/>
        <w:jc w:val="both"/>
      </w:pPr>
      <w:r>
        <w:rPr>
          <w:sz w:val="24"/>
        </w:rPr>
        <w:t xml:space="preserve">а) регистрационные номера заявок;</w:t>
      </w:r>
    </w:p>
    <w:p>
      <w:pPr>
        <w:pStyle w:val="0"/>
        <w:spacing w:before="240"/>
        <w:ind w:firstLine="540"/>
        <w:jc w:val="both"/>
      </w:pPr>
      <w:r>
        <w:rPr>
          <w:sz w:val="24"/>
        </w:rPr>
        <w:t xml:space="preserve">б) даты и время поступления заявок;</w:t>
      </w:r>
    </w:p>
    <w:p>
      <w:pPr>
        <w:pStyle w:val="0"/>
        <w:spacing w:before="240"/>
        <w:ind w:firstLine="540"/>
        <w:jc w:val="both"/>
      </w:pPr>
      <w:r>
        <w:rPr>
          <w:sz w:val="24"/>
        </w:rPr>
        <w:t xml:space="preserve">в) фамилия, имя, отчество заявителей, участвующих в отборе;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Литерация пунктов дана в соответствии с официальным текстом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 запрашиваемые заявителями размеры грантов;</w:t>
      </w:r>
    </w:p>
    <w:p>
      <w:pPr>
        <w:pStyle w:val="0"/>
        <w:spacing w:before="240"/>
        <w:ind w:firstLine="540"/>
        <w:jc w:val="both"/>
      </w:pPr>
      <w:r>
        <w:rPr>
          <w:sz w:val="24"/>
        </w:rPr>
        <w:t xml:space="preserve">4) в случае проведения отбора с использованием системы "Электронный бюджет"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ind w:firstLine="540"/>
        <w:jc w:val="both"/>
      </w:pPr>
      <w:r>
        <w:rPr>
          <w:sz w:val="24"/>
        </w:rPr>
        <w:t xml:space="preserve">В случае проведения отбора без использования системы "Электронный бюджет" протокол вскрытия составляется комиссией, подписывается председателем комиссии и размещается на официальном сайте Министерства не позднее 1-го рабочего дня, следующего за днем его подписания;</w:t>
      </w:r>
    </w:p>
    <w:bookmarkStart w:id="150" w:name="P150"/>
    <w:bookmarkEnd w:id="150"/>
    <w:p>
      <w:pPr>
        <w:pStyle w:val="0"/>
        <w:spacing w:before="240"/>
        <w:ind w:firstLine="540"/>
        <w:jc w:val="both"/>
      </w:pPr>
      <w:r>
        <w:rPr>
          <w:sz w:val="24"/>
        </w:rPr>
        <w:t xml:space="preserve">5) комиссия в течение 10 рабочих дней с даты размещения на едином портале (в случае проведения отбора без использования системы "Электронный бюджет"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и соответствие поданных ими заявок требованиям, установленным </w:t>
      </w:r>
      <w:hyperlink w:tooltip="13. Требования, предъявляемые к форме и содержанию заявок, подаваемых заявителями:" w:anchor="P104" w:history="0">
        <w:r>
          <w:rPr>
            <w:color w:val="0000ff"/>
            <w:sz w:val="24"/>
          </w:rPr>
          <w:t xml:space="preserve">пунктом 13</w:t>
        </w:r>
      </w:hyperlink>
      <w:r>
        <w:rPr>
          <w:sz w:val="24"/>
        </w:rPr>
        <w:t xml:space="preserve"> настоящего Порядка и указанным в объявлении о проведении отбора.</w:t>
      </w:r>
    </w:p>
    <w:p>
      <w:pPr>
        <w:pStyle w:val="0"/>
        <w:spacing w:before="240"/>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w:t>
      </w:r>
      <w:hyperlink w:tooltip="6) комиссия отклоняет заявки в случае:" w:anchor="P155" w:history="0">
        <w:r>
          <w:rPr>
            <w:color w:val="0000ff"/>
            <w:sz w:val="24"/>
          </w:rPr>
          <w:t xml:space="preserve">подпунктом 6</w:t>
        </w:r>
      </w:hyperlink>
      <w:r>
        <w:rPr>
          <w:sz w:val="24"/>
        </w:rPr>
        <w:t xml:space="preserve"> настоящего пункта.</w:t>
      </w:r>
    </w:p>
    <w:p>
      <w:pPr>
        <w:pStyle w:val="0"/>
        <w:spacing w:before="240"/>
        <w:ind w:firstLine="540"/>
        <w:jc w:val="both"/>
      </w:pPr>
      <w:r>
        <w:rPr>
          <w:sz w:val="24"/>
        </w:rPr>
        <w:t xml:space="preserve">Решения о соответствии заявок требованиям, указанным в объявлении о проведении отбора, принимаются комиссией на даты получения Министерством результатов проверки представленных заявителем информации и документов, прилагаемых к заявке.</w:t>
      </w:r>
    </w:p>
    <w:p>
      <w:pPr>
        <w:pStyle w:val="0"/>
        <w:spacing w:before="240"/>
        <w:ind w:firstLine="540"/>
        <w:jc w:val="both"/>
      </w:pPr>
      <w:r>
        <w:rPr>
          <w:sz w:val="24"/>
        </w:rPr>
        <w:t xml:space="preserve">Проверка заявителя на соответствие на дату рассмотрения заявки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осуществляется при наличии технической возможности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случае отсутствия технической возможности автоматической проверки заявителя в системе "Электронный бюджет" Министерство в порядке межведомственного взаимодействия запрашивает у соответствующих органов государственной власти документы (сведения) в отношении заявителя по состоянию на дату рассмотрения его заявки для подтверждения соответствия требованиям, указанным в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пункте 12</w:t>
        </w:r>
      </w:hyperlink>
      <w:r>
        <w:rPr>
          <w:sz w:val="24"/>
        </w:rPr>
        <w:t xml:space="preserve"> настоящего Порядка.</w:t>
      </w:r>
    </w:p>
    <w:p>
      <w:pPr>
        <w:pStyle w:val="0"/>
        <w:spacing w:before="240"/>
        <w:ind w:firstLine="540"/>
        <w:jc w:val="both"/>
      </w:pPr>
      <w:r>
        <w:rPr>
          <w:sz w:val="24"/>
        </w:rPr>
        <w:t xml:space="preserve">Подтверждение соответствия заявителя требованиям, определенным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также на основании отметок о его соответствии указанным требованиям, проставленных посредством заполнения соответствующих экранных форм веб-интерфейса системы "Электронный бюджет" (в случае проведения отбора без использования системы "Электронный бюджет" - на основании его подтверждения о соответствии указанным требованиям, содержащегося в заявке);</w:t>
      </w:r>
    </w:p>
    <w:bookmarkStart w:id="155" w:name="P155"/>
    <w:bookmarkEnd w:id="155"/>
    <w:p>
      <w:pPr>
        <w:pStyle w:val="0"/>
        <w:spacing w:before="240"/>
        <w:ind w:firstLine="540"/>
        <w:jc w:val="both"/>
      </w:pPr>
      <w:r>
        <w:rPr>
          <w:sz w:val="24"/>
        </w:rPr>
        <w:t xml:space="preserve">6) комиссия отклоняет заявки в случае:</w:t>
      </w:r>
    </w:p>
    <w:p>
      <w:pPr>
        <w:pStyle w:val="0"/>
        <w:spacing w:before="240"/>
        <w:ind w:firstLine="540"/>
        <w:jc w:val="both"/>
      </w:pPr>
      <w:r>
        <w:rPr>
          <w:sz w:val="24"/>
        </w:rPr>
        <w:t xml:space="preserve">а) несоответствия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w:t>
      </w:r>
    </w:p>
    <w:p>
      <w:pPr>
        <w:pStyle w:val="0"/>
        <w:spacing w:before="240"/>
        <w:ind w:firstLine="540"/>
        <w:jc w:val="both"/>
      </w:pPr>
      <w:r>
        <w:rPr>
          <w:sz w:val="24"/>
        </w:rPr>
        <w:t xml:space="preserve">б) непредставления (представления не в полном объеме) документов, указанных в объявлении о проведении отбора;</w:t>
      </w:r>
    </w:p>
    <w:p>
      <w:pPr>
        <w:pStyle w:val="0"/>
        <w:spacing w:before="240"/>
        <w:ind w:firstLine="540"/>
        <w:jc w:val="both"/>
      </w:pPr>
      <w:r>
        <w:rPr>
          <w:sz w:val="24"/>
        </w:rPr>
        <w:t xml:space="preserve">в) несоответствия представленных документов и заявки требованиям, установленным в объявлении о проведении отбора;</w:t>
      </w:r>
    </w:p>
    <w:p>
      <w:pPr>
        <w:pStyle w:val="0"/>
        <w:spacing w:before="240"/>
        <w:ind w:firstLine="540"/>
        <w:jc w:val="both"/>
      </w:pPr>
      <w:r>
        <w:rPr>
          <w:sz w:val="24"/>
        </w:rPr>
        <w:t xml:space="preserve">г) недостоверности информации, содержащейся в документах, прилагаемых к заявке;</w:t>
      </w:r>
    </w:p>
    <w:p>
      <w:pPr>
        <w:pStyle w:val="0"/>
        <w:spacing w:before="240"/>
        <w:ind w:firstLine="540"/>
        <w:jc w:val="both"/>
      </w:pPr>
      <w:r>
        <w:rPr>
          <w:sz w:val="24"/>
        </w:rPr>
        <w:t xml:space="preserve">д) подачи заявки за пределами срока подачи заявок, установленного в объявлении о проведении отбора;</w:t>
      </w:r>
    </w:p>
    <w:p>
      <w:pPr>
        <w:pStyle w:val="0"/>
        <w:spacing w:before="240"/>
        <w:ind w:firstLine="540"/>
        <w:jc w:val="both"/>
      </w:pPr>
      <w:r>
        <w:rPr>
          <w:sz w:val="24"/>
        </w:rPr>
        <w:t xml:space="preserve">е) несоответствия проекта, планируемого к реализации заявителем за счет средств предоставляемого гранта, целям, указанным в </w:t>
      </w:r>
      <w:hyperlink w:tooltip="1. Утвердить прилагаемый Порядок предоставления грантов в форме субсидий на реализацию молодежных проектов в сфере государственной национальной политики." w:anchor="P13" w:history="0">
        <w:r>
          <w:rPr>
            <w:color w:val="0000ff"/>
            <w:sz w:val="24"/>
          </w:rPr>
          <w:t xml:space="preserve">пункте 1</w:t>
        </w:r>
      </w:hyperlink>
      <w:r>
        <w:rPr>
          <w:sz w:val="24"/>
        </w:rPr>
        <w:t xml:space="preserve"> настоящего Порядка;</w:t>
      </w:r>
    </w:p>
    <w:p>
      <w:pPr>
        <w:pStyle w:val="0"/>
        <w:spacing w:before="240"/>
        <w:ind w:firstLine="540"/>
        <w:jc w:val="both"/>
      </w:pPr>
      <w:r>
        <w:rPr>
          <w:sz w:val="24"/>
        </w:rPr>
        <w:t xml:space="preserve">ж) несоответствия заявителя категории, установленной </w:t>
      </w:r>
      <w:hyperlink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anchor="P50" w:history="0">
        <w:r>
          <w:rPr>
            <w:color w:val="0000ff"/>
            <w:sz w:val="24"/>
          </w:rPr>
          <w:t xml:space="preserve">пунктом 5</w:t>
        </w:r>
      </w:hyperlink>
      <w:r>
        <w:rPr>
          <w:sz w:val="24"/>
        </w:rPr>
        <w:t xml:space="preserve"> настоящего Порядка;</w:t>
      </w:r>
    </w:p>
    <w:p>
      <w:pPr>
        <w:pStyle w:val="0"/>
        <w:spacing w:before="240"/>
        <w:ind w:firstLine="540"/>
        <w:jc w:val="both"/>
      </w:pPr>
      <w:r>
        <w:rPr>
          <w:sz w:val="24"/>
        </w:rPr>
        <w:t xml:space="preserve">7) в ходе рассмотрения заявок комиссия вправе осуществить запрос у заявителя разъяснений в отношении представленных им документов и информации с использованием системы "Электронный бюджет" (в случае проведения отбора без использования системы "Электронный бюджет" - путем направления запроса по адресу электронной почты, указанному в заявке), направляемый при необходимости в равной мере всем заявителям.</w:t>
      </w:r>
    </w:p>
    <w:bookmarkStart w:id="164" w:name="P164"/>
    <w:bookmarkEnd w:id="164"/>
    <w:p>
      <w:pPr>
        <w:pStyle w:val="0"/>
        <w:spacing w:before="240"/>
        <w:ind w:firstLine="540"/>
        <w:jc w:val="both"/>
      </w:pPr>
      <w:r>
        <w:rPr>
          <w:sz w:val="24"/>
        </w:rPr>
        <w:t xml:space="preserve">Заявитель в течение 2 рабочих дней со дня, следующего за днем размещения комиссией соответствующего запроса, обязан предоставить разъяснения в отношении представленных им документов и информации в системе "Электронный бюджет" (в случае проведения отбора без использования системы "Электронный бюджет" - путем направления разъяснения по адресу электронной почты Министерства, указанному в объявлении о проведении отбора, либо представления разъяснения на бумажном носителе).</w:t>
      </w:r>
    </w:p>
    <w:p>
      <w:pPr>
        <w:pStyle w:val="0"/>
        <w:spacing w:before="240"/>
        <w:ind w:firstLine="540"/>
        <w:jc w:val="both"/>
      </w:pPr>
      <w:r>
        <w:rPr>
          <w:sz w:val="24"/>
        </w:rPr>
        <w:t xml:space="preserve">В случае если заявитель в ответ на запрос комиссии не представил запрашиваемые разъяснения в срок, установленный </w:t>
      </w:r>
      <w:hyperlink w:tooltip="Заявитель в течение 2 рабочих дней со дня, следующего за днем размещения комиссией соответствующего запроса, обязан предоставить разъяснения в отношении представленных им документов и информации в системе &quot;Электронный бюджет&quot; (в случае проведения отбора без использования системы &quot;Электронный бюджет&quot; - путем направления разъяснения по адресу электронной почты Министерства, указанному в объявлении о проведении отбора, либо представления разъяснения на бумажном носителе)." w:anchor="P164" w:history="0">
        <w:r>
          <w:rPr>
            <w:color w:val="0000ff"/>
            <w:sz w:val="24"/>
          </w:rPr>
          <w:t xml:space="preserve">абзацем вторым</w:t>
        </w:r>
      </w:hyperlink>
      <w:r>
        <w:rPr>
          <w:sz w:val="24"/>
        </w:rPr>
        <w:t xml:space="preserve"> настоящего подпункта, информация об этом включается в протокол рассмотрения заявок, предусмотренный </w:t>
      </w:r>
      <w:hyperlink w:tooltip="9) в случае проведения отбора с использованием системы &quot;Электронный бюджет&quot; не позднее 1-го рабочего дня со дня окончания срока рассмотрения заявок, установленного подпунктом 5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заявки надлежащей или об откл..." w:anchor="P171" w:history="0">
        <w:r>
          <w:rPr>
            <w:color w:val="0000ff"/>
            <w:sz w:val="24"/>
          </w:rPr>
          <w:t xml:space="preserve">подпунктом 9</w:t>
        </w:r>
      </w:hyperlink>
      <w:r>
        <w:rPr>
          <w:sz w:val="24"/>
        </w:rPr>
        <w:t xml:space="preserve"> настоящего пункта;</w:t>
      </w:r>
    </w:p>
    <w:p>
      <w:pPr>
        <w:pStyle w:val="0"/>
        <w:spacing w:before="240"/>
        <w:ind w:firstLine="540"/>
        <w:jc w:val="both"/>
      </w:pPr>
      <w:r>
        <w:rPr>
          <w:sz w:val="24"/>
        </w:rPr>
        <w:t xml:space="preserve">8) отбор признается несостоявшимся в следующих случаях:</w:t>
      </w:r>
    </w:p>
    <w:p>
      <w:pPr>
        <w:pStyle w:val="0"/>
        <w:spacing w:before="240"/>
        <w:ind w:firstLine="540"/>
        <w:jc w:val="both"/>
      </w:pPr>
      <w:r>
        <w:rPr>
          <w:sz w:val="24"/>
        </w:rPr>
        <w:t xml:space="preserve">а) по окончании срока подачи заявок подана только одна заявка;</w:t>
      </w:r>
    </w:p>
    <w:p>
      <w:pPr>
        <w:pStyle w:val="0"/>
        <w:spacing w:before="240"/>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40"/>
        <w:ind w:firstLine="540"/>
        <w:jc w:val="both"/>
      </w:pPr>
      <w:r>
        <w:rPr>
          <w:sz w:val="24"/>
        </w:rPr>
        <w:t xml:space="preserve">в) по окончании срока подачи заявок не подано ни одной заявки;</w:t>
      </w:r>
    </w:p>
    <w:p>
      <w:pPr>
        <w:pStyle w:val="0"/>
        <w:spacing w:before="240"/>
        <w:ind w:firstLine="540"/>
        <w:jc w:val="both"/>
      </w:pPr>
      <w:r>
        <w:rPr>
          <w:sz w:val="24"/>
        </w:rPr>
        <w:t xml:space="preserve">г) по результатам рассмотрения заявок отклонены все заявки;</w:t>
      </w:r>
    </w:p>
    <w:bookmarkStart w:id="171" w:name="P171"/>
    <w:bookmarkEnd w:id="171"/>
    <w:p>
      <w:pPr>
        <w:pStyle w:val="0"/>
        <w:spacing w:before="240"/>
        <w:ind w:firstLine="540"/>
        <w:jc w:val="both"/>
      </w:pPr>
      <w:r>
        <w:rPr>
          <w:sz w:val="24"/>
        </w:rPr>
        <w:t xml:space="preserve">9) в случае проведения отбора с использованием системы "Электронный бюджет" не позднее 1-го рабочего дня со дня окончания срока рассмотрения заявок, установленного </w:t>
      </w:r>
      <w:hyperlink w:tooltip="5) комиссия в течение 10 рабочих дней с даты размещения на едином портале (в случае проведения отбора без использования системы &quot;Электронный бюджет&quot;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пунктом 12 настоящего Порядка, и соответствие поданных ими заявок требованиям, установленным пунктом 13 настоящего Порядка и указанным в объявлении о пров..." w:anchor="P150" w:history="0">
        <w:r>
          <w:rPr>
            <w:color w:val="0000ff"/>
            <w:sz w:val="24"/>
          </w:rPr>
          <w:t xml:space="preserve">подпунктом 5</w:t>
        </w:r>
      </w:hyperlink>
      <w:r>
        <w:rPr>
          <w:sz w:val="24"/>
        </w:rPr>
        <w:t xml:space="preserve">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заявки надлежащей или об отклонении заявки с указанием оснований для отклонения.</w:t>
      </w:r>
    </w:p>
    <w:p>
      <w:pPr>
        <w:pStyle w:val="0"/>
        <w:spacing w:before="240"/>
        <w:ind w:firstLine="540"/>
        <w:jc w:val="both"/>
      </w:pPr>
      <w:r>
        <w:rPr>
          <w:sz w:val="24"/>
        </w:rPr>
        <w:t xml:space="preserve">В случае проведения отбора без использования системы "Электронный бюджет" протокол рассмотрения заявок составляется комиссией, подписывается председателем комиссии и размещается на официальном сайте Министерства не позднее 1-го рабочего дня со дня окончания срока рассмотрения заявок, установленного </w:t>
      </w:r>
      <w:hyperlink w:tooltip="5) комиссия в течение 10 рабочих дней с даты размещения на едином портале (в случае проведения отбора без использования системы &quot;Электронный бюджет&quot; - на официальном сайте Министерства) протокола вскрытия заявок осуществляет их рассмотрение, в том числе проверяет в порядке очередности регистрации заявок соответствие заявителя требованиям, установленным пунктом 12 настоящего Порядка, и соответствие поданных ими заявок требованиям, установленным пунктом 13 настоящего Порядка и указанным в объявлении о пров..." w:anchor="P150" w:history="0">
        <w:r>
          <w:rPr>
            <w:color w:val="0000ff"/>
            <w:sz w:val="24"/>
          </w:rPr>
          <w:t xml:space="preserve">подпунктом 5</w:t>
        </w:r>
      </w:hyperlink>
      <w:r>
        <w:rPr>
          <w:sz w:val="24"/>
        </w:rPr>
        <w:t xml:space="preserve"> настоящего пункта;</w:t>
      </w:r>
    </w:p>
    <w:p>
      <w:pPr>
        <w:pStyle w:val="0"/>
        <w:spacing w:before="240"/>
        <w:ind w:firstLine="540"/>
        <w:jc w:val="both"/>
      </w:pPr>
      <w:r>
        <w:rPr>
          <w:sz w:val="24"/>
        </w:rPr>
        <w:t xml:space="preserve">10) в случае проведения отбора с использованием системы "Электронный бюджет" внесение изменений в протокол рассмотрения заявок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p>
    <w:p>
      <w:pPr>
        <w:pStyle w:val="0"/>
        <w:spacing w:before="240"/>
        <w:ind w:firstLine="540"/>
        <w:jc w:val="both"/>
      </w:pPr>
      <w:r>
        <w:rPr>
          <w:sz w:val="24"/>
        </w:rPr>
        <w:t xml:space="preserve">В случае проведения отбора без использования системы "Электронный бюджет" не позднее 10 календарных дней со дня подписания протокола рассмотрения заявок составляется и размещается на официальном сайте Министерства новый протокол рассмотрения заявок, к которому прилагается пояснительная записка с указанием причин внесения изменений;</w:t>
      </w:r>
    </w:p>
    <w:bookmarkStart w:id="175" w:name="P175"/>
    <w:bookmarkEnd w:id="175"/>
    <w:p>
      <w:pPr>
        <w:pStyle w:val="0"/>
        <w:spacing w:before="240"/>
        <w:ind w:firstLine="540"/>
        <w:jc w:val="both"/>
      </w:pPr>
      <w:r>
        <w:rPr>
          <w:sz w:val="24"/>
        </w:rPr>
        <w:t xml:space="preserve">11) комиссия в течение 15 рабочих дней с даты размещения на едином портале (в случае проведения отбора без использования системы "Электронный бюджет"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w:t>
      </w:r>
    </w:p>
    <w:p>
      <w:pPr>
        <w:pStyle w:val="0"/>
        <w:jc w:val="both"/>
      </w:pPr>
      <w:r>
        <w:rPr>
          <w:sz w:val="24"/>
        </w:rPr>
      </w:r>
    </w:p>
    <w:p>
      <w:pPr>
        <w:pStyle w:val="0"/>
        <w:jc w:val="right"/>
      </w:pPr>
      <w:r>
        <w:rPr>
          <w:sz w:val="24"/>
        </w:rPr>
        <w:t xml:space="preserve">Таблица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3402"/>
        <w:gridCol w:w="2778"/>
        <w:gridCol w:w="2438"/>
      </w:tblGrid>
      <w:tr>
        <w:tc>
          <w:tcPr>
            <w:tcW w:w="454" w:type="dxa"/>
          </w:tcPr>
          <w:p>
            <w:pPr>
              <w:pStyle w:val="0"/>
              <w:jc w:val="center"/>
            </w:pPr>
            <w:r>
              <w:rPr>
                <w:sz w:val="24"/>
              </w:rPr>
              <w:t xml:space="preserve">N п/п</w:t>
            </w:r>
          </w:p>
        </w:tc>
        <w:tc>
          <w:tcPr>
            <w:tcW w:w="3402" w:type="dxa"/>
          </w:tcPr>
          <w:p>
            <w:pPr>
              <w:pStyle w:val="0"/>
              <w:jc w:val="center"/>
            </w:pPr>
            <w:r>
              <w:rPr>
                <w:sz w:val="24"/>
              </w:rPr>
              <w:t xml:space="preserve">Критерий оценки</w:t>
            </w:r>
          </w:p>
        </w:tc>
        <w:tc>
          <w:tcPr>
            <w:tcW w:w="2778" w:type="dxa"/>
          </w:tcPr>
          <w:p>
            <w:pPr>
              <w:pStyle w:val="0"/>
              <w:jc w:val="center"/>
            </w:pPr>
            <w:r>
              <w:rPr>
                <w:sz w:val="24"/>
              </w:rPr>
              <w:t xml:space="preserve">Шкала оценки по критерию</w:t>
            </w:r>
          </w:p>
        </w:tc>
        <w:tc>
          <w:tcPr>
            <w:tcW w:w="2438" w:type="dxa"/>
          </w:tcPr>
          <w:p>
            <w:pPr>
              <w:pStyle w:val="0"/>
              <w:jc w:val="center"/>
            </w:pPr>
            <w:r>
              <w:rPr>
                <w:sz w:val="24"/>
              </w:rPr>
              <w:t xml:space="preserve">Весовое значение (величина значимости) критерия в общей оценке, процентов</w:t>
            </w:r>
          </w:p>
        </w:tc>
      </w:tr>
      <w:tr>
        <w:tc>
          <w:tcPr>
            <w:tcW w:w="454" w:type="dxa"/>
          </w:tcPr>
          <w:p>
            <w:pPr>
              <w:pStyle w:val="0"/>
              <w:jc w:val="center"/>
            </w:pPr>
            <w:r>
              <w:rPr>
                <w:sz w:val="24"/>
              </w:rPr>
              <w:t xml:space="preserve">1</w:t>
            </w:r>
          </w:p>
        </w:tc>
        <w:tc>
          <w:tcPr>
            <w:tcW w:w="3402" w:type="dxa"/>
          </w:tcPr>
          <w:p>
            <w:pPr>
              <w:pStyle w:val="0"/>
              <w:jc w:val="center"/>
            </w:pPr>
            <w:r>
              <w:rPr>
                <w:sz w:val="24"/>
              </w:rPr>
              <w:t xml:space="preserve">2</w:t>
            </w:r>
          </w:p>
        </w:tc>
        <w:tc>
          <w:tcPr>
            <w:tcW w:w="2778" w:type="dxa"/>
          </w:tcPr>
          <w:p>
            <w:pPr>
              <w:pStyle w:val="0"/>
              <w:jc w:val="center"/>
            </w:pPr>
            <w:r>
              <w:rPr>
                <w:sz w:val="24"/>
              </w:rPr>
              <w:t xml:space="preserve">3</w:t>
            </w:r>
          </w:p>
        </w:tc>
        <w:tc>
          <w:tcPr>
            <w:tcW w:w="2438" w:type="dxa"/>
          </w:tcPr>
          <w:p>
            <w:pPr>
              <w:pStyle w:val="0"/>
              <w:jc w:val="center"/>
            </w:pPr>
            <w:r>
              <w:rPr>
                <w:sz w:val="24"/>
              </w:rPr>
              <w:t xml:space="preserve">4</w:t>
            </w:r>
          </w:p>
        </w:tc>
      </w:tr>
      <w:tr>
        <w:tc>
          <w:tcPr>
            <w:tcW w:w="454" w:type="dxa"/>
          </w:tcPr>
          <w:p>
            <w:pPr>
              <w:pStyle w:val="0"/>
              <w:jc w:val="center"/>
            </w:pPr>
            <w:r>
              <w:rPr>
                <w:sz w:val="24"/>
              </w:rPr>
              <w:t xml:space="preserve">1</w:t>
            </w:r>
          </w:p>
        </w:tc>
        <w:tc>
          <w:tcPr>
            <w:tcW w:w="3402" w:type="dxa"/>
          </w:tcPr>
          <w:p>
            <w:pPr>
              <w:pStyle w:val="0"/>
            </w:pPr>
            <w:r>
              <w:rPr>
                <w:sz w:val="24"/>
              </w:rPr>
              <w:t xml:space="preserve">Соответствие цели проекта</w:t>
            </w:r>
          </w:p>
          <w:p>
            <w:pPr>
              <w:pStyle w:val="0"/>
            </w:pPr>
            <w:r>
              <w:rPr>
                <w:sz w:val="24"/>
              </w:rPr>
              <w:t xml:space="preserve">цели государственной </w:t>
            </w:r>
            <w:r>
              <w:rPr>
                <w:sz w:val="24"/>
              </w:rPr>
              <w:t xml:space="preserve">программы</w:t>
            </w:r>
            <w:r>
              <w:rPr>
                <w:sz w:val="24"/>
              </w:rPr>
              <w:t xml:space="preserve"> Удмуртской Республики "Сохранение, изучение и развитие государственных языков Удмуртской Республики и иных языков народов Удмуртской Республики", утвержденной постановлением Правительства Удмуртской Республики от 20 ноября 2023 года N 748 (далее - Государственная программа)</w:t>
            </w:r>
          </w:p>
        </w:tc>
        <w:tc>
          <w:tcPr>
            <w:tcW w:w="2778" w:type="dxa"/>
          </w:tcPr>
          <w:p>
            <w:pPr>
              <w:pStyle w:val="0"/>
            </w:pPr>
            <w:r>
              <w:rPr>
                <w:sz w:val="24"/>
              </w:rPr>
              <w:t xml:space="preserve">70 баллов - цель проекта соответствует цели Государственной программы;</w:t>
            </w:r>
          </w:p>
          <w:p>
            <w:pPr>
              <w:pStyle w:val="0"/>
            </w:pPr>
            <w:r>
              <w:rPr>
                <w:sz w:val="24"/>
              </w:rPr>
              <w:t xml:space="preserve">30 баллов - цель проекта соответствует цели Государственной программы не в полном объеме;</w:t>
            </w:r>
          </w:p>
          <w:p>
            <w:pPr>
              <w:pStyle w:val="0"/>
            </w:pPr>
            <w:r>
              <w:rPr>
                <w:sz w:val="24"/>
              </w:rPr>
              <w:t xml:space="preserve">0 баллов - цель проекта не соответствует цели Государственной программы</w:t>
            </w:r>
          </w:p>
        </w:tc>
        <w:tc>
          <w:tcPr>
            <w:tcW w:w="2438" w:type="dxa"/>
          </w:tcPr>
          <w:p>
            <w:pPr>
              <w:pStyle w:val="0"/>
              <w:jc w:val="center"/>
            </w:pPr>
            <w:r>
              <w:rPr>
                <w:sz w:val="24"/>
              </w:rPr>
              <w:t xml:space="preserve">40</w:t>
            </w:r>
          </w:p>
        </w:tc>
      </w:tr>
      <w:tr>
        <w:tc>
          <w:tcPr>
            <w:tcW w:w="454" w:type="dxa"/>
          </w:tcPr>
          <w:p>
            <w:pPr>
              <w:pStyle w:val="0"/>
              <w:jc w:val="center"/>
            </w:pPr>
            <w:r>
              <w:rPr>
                <w:sz w:val="24"/>
              </w:rPr>
              <w:t xml:space="preserve">2</w:t>
            </w:r>
          </w:p>
        </w:tc>
        <w:tc>
          <w:tcPr>
            <w:tcW w:w="3402" w:type="dxa"/>
          </w:tcPr>
          <w:p>
            <w:pPr>
              <w:pStyle w:val="0"/>
            </w:pPr>
            <w:r>
              <w:rPr>
                <w:sz w:val="24"/>
              </w:rPr>
              <w:t xml:space="preserve">Соответствие задач проекта</w:t>
            </w:r>
          </w:p>
          <w:p>
            <w:pPr>
              <w:pStyle w:val="0"/>
            </w:pPr>
            <w:r>
              <w:rPr>
                <w:sz w:val="24"/>
              </w:rPr>
              <w:t xml:space="preserve">основным показателям Государственной программы</w:t>
            </w:r>
          </w:p>
        </w:tc>
        <w:tc>
          <w:tcPr>
            <w:tcW w:w="2778" w:type="dxa"/>
          </w:tcPr>
          <w:p>
            <w:pPr>
              <w:pStyle w:val="0"/>
            </w:pPr>
            <w:r>
              <w:rPr>
                <w:sz w:val="24"/>
              </w:rPr>
              <w:t xml:space="preserve">55 баллов - все задачи проекта соответствуют основным показателям Государственной программы;</w:t>
            </w:r>
          </w:p>
          <w:p>
            <w:pPr>
              <w:pStyle w:val="0"/>
            </w:pPr>
            <w:r>
              <w:rPr>
                <w:sz w:val="24"/>
              </w:rPr>
              <w:t xml:space="preserve">30 баллов - более половины задач проекта соответствуют основным показателям Государственной программы;</w:t>
            </w:r>
          </w:p>
          <w:p>
            <w:pPr>
              <w:pStyle w:val="0"/>
            </w:pPr>
            <w:r>
              <w:rPr>
                <w:sz w:val="24"/>
              </w:rPr>
              <w:t xml:space="preserve">15 баллов - половина или менее половины задач проекта не соответствуют основным показателям Государственной программы;</w:t>
            </w:r>
          </w:p>
          <w:p>
            <w:pPr>
              <w:pStyle w:val="0"/>
            </w:pPr>
            <w:r>
              <w:rPr>
                <w:sz w:val="24"/>
              </w:rPr>
              <w:t xml:space="preserve">0 баллов - задачи проекта не соответствуют основным показателям Государственной программы</w:t>
            </w:r>
          </w:p>
        </w:tc>
        <w:tc>
          <w:tcPr>
            <w:tcW w:w="2438" w:type="dxa"/>
          </w:tcPr>
          <w:p>
            <w:pPr>
              <w:pStyle w:val="0"/>
              <w:jc w:val="center"/>
            </w:pPr>
            <w:r>
              <w:rPr>
                <w:sz w:val="24"/>
              </w:rPr>
              <w:t xml:space="preserve">20</w:t>
            </w:r>
          </w:p>
        </w:tc>
      </w:tr>
      <w:tr>
        <w:tc>
          <w:tcPr>
            <w:tcW w:w="454" w:type="dxa"/>
          </w:tcPr>
          <w:p>
            <w:pPr>
              <w:pStyle w:val="0"/>
              <w:jc w:val="center"/>
            </w:pPr>
            <w:r>
              <w:rPr>
                <w:sz w:val="24"/>
              </w:rPr>
              <w:t xml:space="preserve">3</w:t>
            </w:r>
          </w:p>
        </w:tc>
        <w:tc>
          <w:tcPr>
            <w:tcW w:w="3402" w:type="dxa"/>
          </w:tcPr>
          <w:p>
            <w:pPr>
              <w:pStyle w:val="0"/>
            </w:pPr>
            <w:r>
              <w:rPr>
                <w:sz w:val="24"/>
              </w:rPr>
              <w:t xml:space="preserve">Количество участников целевой группы, задействованных в реализации проекта</w:t>
            </w:r>
          </w:p>
        </w:tc>
        <w:tc>
          <w:tcPr>
            <w:tcW w:w="2778" w:type="dxa"/>
          </w:tcPr>
          <w:p>
            <w:pPr>
              <w:pStyle w:val="0"/>
            </w:pPr>
            <w:r>
              <w:rPr>
                <w:sz w:val="24"/>
              </w:rPr>
              <w:t xml:space="preserve">35 баллов - свыше 1000 человек;</w:t>
            </w:r>
          </w:p>
          <w:p>
            <w:pPr>
              <w:pStyle w:val="0"/>
            </w:pPr>
            <w:r>
              <w:rPr>
                <w:sz w:val="24"/>
              </w:rPr>
              <w:t xml:space="preserve">25 баллов - от 601 до 1000 человек;</w:t>
            </w:r>
          </w:p>
          <w:p>
            <w:pPr>
              <w:pStyle w:val="0"/>
            </w:pPr>
            <w:r>
              <w:rPr>
                <w:sz w:val="24"/>
              </w:rPr>
              <w:t xml:space="preserve">20 баллов - от 201 до 600 человек;</w:t>
            </w:r>
          </w:p>
          <w:p>
            <w:pPr>
              <w:pStyle w:val="0"/>
            </w:pPr>
            <w:r>
              <w:rPr>
                <w:sz w:val="24"/>
              </w:rPr>
              <w:t xml:space="preserve">15 баллов - от 51 до 200 человек;</w:t>
            </w:r>
          </w:p>
          <w:p>
            <w:pPr>
              <w:pStyle w:val="0"/>
            </w:pPr>
            <w:r>
              <w:rPr>
                <w:sz w:val="24"/>
              </w:rPr>
              <w:t xml:space="preserve">5 баллов - до 50 человек;</w:t>
            </w:r>
          </w:p>
          <w:p>
            <w:pPr>
              <w:pStyle w:val="0"/>
            </w:pPr>
            <w:r>
              <w:rPr>
                <w:sz w:val="24"/>
              </w:rPr>
              <w:t xml:space="preserve">0 баллов - 0 человек</w:t>
            </w:r>
          </w:p>
        </w:tc>
        <w:tc>
          <w:tcPr>
            <w:tcW w:w="2438" w:type="dxa"/>
          </w:tcPr>
          <w:p>
            <w:pPr>
              <w:pStyle w:val="0"/>
              <w:jc w:val="center"/>
            </w:pPr>
            <w:r>
              <w:rPr>
                <w:sz w:val="24"/>
              </w:rPr>
              <w:t xml:space="preserve">20</w:t>
            </w:r>
          </w:p>
        </w:tc>
      </w:tr>
      <w:tr>
        <w:tc>
          <w:tcPr>
            <w:tcW w:w="454" w:type="dxa"/>
          </w:tcPr>
          <w:p>
            <w:pPr>
              <w:pStyle w:val="0"/>
              <w:jc w:val="center"/>
            </w:pPr>
            <w:r>
              <w:rPr>
                <w:sz w:val="24"/>
              </w:rPr>
              <w:t xml:space="preserve">4</w:t>
            </w:r>
          </w:p>
        </w:tc>
        <w:tc>
          <w:tcPr>
            <w:tcW w:w="3402" w:type="dxa"/>
          </w:tcPr>
          <w:p>
            <w:pPr>
              <w:pStyle w:val="0"/>
            </w:pPr>
            <w:r>
              <w:rPr>
                <w:sz w:val="24"/>
              </w:rPr>
              <w:t xml:space="preserve">Предполагаемое количество публикаций о ходе реализации проекта в средствах массовой информации, информационно-телекоммуникационной сети "Интернет" в течение срока его реализации</w:t>
            </w:r>
          </w:p>
        </w:tc>
        <w:tc>
          <w:tcPr>
            <w:tcW w:w="2778" w:type="dxa"/>
          </w:tcPr>
          <w:p>
            <w:pPr>
              <w:pStyle w:val="0"/>
            </w:pPr>
            <w:r>
              <w:rPr>
                <w:sz w:val="24"/>
              </w:rPr>
              <w:t xml:space="preserve">50 баллов - свыше 15 публикаций;</w:t>
            </w:r>
          </w:p>
          <w:p>
            <w:pPr>
              <w:pStyle w:val="0"/>
            </w:pPr>
            <w:r>
              <w:rPr>
                <w:sz w:val="24"/>
              </w:rPr>
              <w:t xml:space="preserve">30 баллов - от 8 до 15 публикаций;</w:t>
            </w:r>
          </w:p>
          <w:p>
            <w:pPr>
              <w:pStyle w:val="0"/>
            </w:pPr>
            <w:r>
              <w:rPr>
                <w:sz w:val="24"/>
              </w:rPr>
              <w:t xml:space="preserve">20 баллов - до 8 публикаций;</w:t>
            </w:r>
          </w:p>
          <w:p>
            <w:pPr>
              <w:pStyle w:val="0"/>
            </w:pPr>
            <w:r>
              <w:rPr>
                <w:sz w:val="24"/>
              </w:rPr>
              <w:t xml:space="preserve">0 баллов - 0 публикаций</w:t>
            </w:r>
          </w:p>
        </w:tc>
        <w:tc>
          <w:tcPr>
            <w:tcW w:w="2438" w:type="dxa"/>
          </w:tcPr>
          <w:p>
            <w:pPr>
              <w:pStyle w:val="0"/>
              <w:jc w:val="center"/>
            </w:pPr>
            <w:r>
              <w:rPr>
                <w:sz w:val="24"/>
              </w:rPr>
              <w:t xml:space="preserve">10</w:t>
            </w:r>
          </w:p>
        </w:tc>
      </w:tr>
      <w:tr>
        <w:tc>
          <w:tcPr>
            <w:tcW w:w="454" w:type="dxa"/>
          </w:tcPr>
          <w:p>
            <w:pPr>
              <w:pStyle w:val="0"/>
              <w:jc w:val="center"/>
            </w:pPr>
            <w:r>
              <w:rPr>
                <w:sz w:val="24"/>
              </w:rPr>
              <w:t xml:space="preserve">5</w:t>
            </w:r>
          </w:p>
        </w:tc>
        <w:tc>
          <w:tcPr>
            <w:tcW w:w="3402" w:type="dxa"/>
          </w:tcPr>
          <w:p>
            <w:pPr>
              <w:pStyle w:val="0"/>
            </w:pPr>
            <w:r>
              <w:rPr>
                <w:sz w:val="24"/>
              </w:rPr>
              <w:t xml:space="preserve">Партнерское взаимодействие заявителя в процессе реализации проекта с юридическими лицами и индивидуальными предпринимателями, или органами государственной власти, или органами местного самоуправления (далее в совокупности - иные организации)</w:t>
            </w:r>
          </w:p>
        </w:tc>
        <w:tc>
          <w:tcPr>
            <w:tcW w:w="2778" w:type="dxa"/>
          </w:tcPr>
          <w:p>
            <w:pPr>
              <w:pStyle w:val="0"/>
            </w:pPr>
            <w:r>
              <w:rPr>
                <w:sz w:val="24"/>
              </w:rPr>
              <w:t xml:space="preserve">60 баллов - предполагается взаимодействие с 5 и более иными организациями;</w:t>
            </w:r>
          </w:p>
          <w:p>
            <w:pPr>
              <w:pStyle w:val="0"/>
            </w:pPr>
            <w:r>
              <w:rPr>
                <w:sz w:val="24"/>
              </w:rPr>
              <w:t xml:space="preserve">40 баллов - предполагается взаимодействие менее чем с 5 иными организациями;</w:t>
            </w:r>
          </w:p>
          <w:p>
            <w:pPr>
              <w:pStyle w:val="0"/>
            </w:pPr>
            <w:r>
              <w:rPr>
                <w:sz w:val="24"/>
              </w:rPr>
              <w:t xml:space="preserve">0 баллов - взаимодействие не предполагается</w:t>
            </w:r>
          </w:p>
        </w:tc>
        <w:tc>
          <w:tcPr>
            <w:tcW w:w="2438"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12) при оценке заявок количество баллов, присваиваемых заявителю по заявке в целом, рассчитывается по формуле:</w:t>
      </w:r>
    </w:p>
    <w:p>
      <w:pPr>
        <w:pStyle w:val="0"/>
        <w:jc w:val="both"/>
      </w:pPr>
      <w:r>
        <w:rPr>
          <w:sz w:val="24"/>
        </w:rPr>
      </w:r>
    </w:p>
    <w:p>
      <w:pPr>
        <w:pStyle w:val="0"/>
        <w:jc w:val="center"/>
      </w:pPr>
      <w:r>
        <w:rPr>
          <w:position w:val="-12"/>
        </w:rPr>
        <mc:AlternateContent>
          <mc:Choice Requires="wpg">
            <w:drawing>
              <wp:inline xmlns:wp="http://schemas.openxmlformats.org/drawingml/2006/wordprocessingDrawing" distT="0" distB="0" distL="0" distR="0">
                <wp:extent cx="118872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extLst>
                            <a:ext uri="{96DAC541-7B7A-43D3-8B79-37D633B846F1}">
                              <asvg:svgBlip xmlns:asvg="http://schemas.microsoft.com/office/drawing/2016/SVG/main" r:embed="rId14"/>
                            </a:ext>
                          </a:extLst>
                        </a:blip>
                        <a:srcRect/>
                        <a:stretch/>
                      </pic:blipFill>
                      <pic:spPr bwMode="auto">
                        <a:xfrm>
                          <a:off x="0" y="0"/>
                          <a:ext cx="118872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3.60pt;height:24.30pt;mso-wrap-distance-left:0.00pt;mso-wrap-distance-top:0.00pt;mso-wrap-distance-right:0.00pt;mso-wrap-distance-bottom:0.00pt;" stroked="f">
                <v:path textboxrect="0,0,0,0"/>
                <v:imagedata r:id="rId13" o:title=""/>
              </v:shape>
            </w:pict>
          </mc:Fallback>
        </mc:AlternateConten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R</w:t>
      </w:r>
      <w:r>
        <w:rPr>
          <w:sz w:val="24"/>
          <w:vertAlign w:val="subscript"/>
        </w:rPr>
        <w:t xml:space="preserve">n</w:t>
      </w:r>
      <w:r>
        <w:rPr>
          <w:sz w:val="24"/>
        </w:rPr>
        <w:t xml:space="preserve"> - общее количество баллов n-го заявителя по всем критериям;</w:t>
      </w:r>
    </w:p>
    <w:p>
      <w:pPr>
        <w:pStyle w:val="0"/>
        <w:spacing w:before="240"/>
        <w:ind w:firstLine="540"/>
        <w:jc w:val="both"/>
      </w:pPr>
      <w:r>
        <w:rPr>
          <w:sz w:val="24"/>
        </w:rPr>
        <w:t xml:space="preserve">Q</w:t>
      </w:r>
      <w:r>
        <w:rPr>
          <w:sz w:val="24"/>
          <w:vertAlign w:val="subscript"/>
        </w:rPr>
        <w:t xml:space="preserve">i</w:t>
      </w:r>
      <w:r>
        <w:rPr>
          <w:sz w:val="24"/>
        </w:rPr>
        <w:t xml:space="preserve"> - весовое значение i-го критерия в общей оценке;</w:t>
      </w:r>
    </w:p>
    <w:p>
      <w:pPr>
        <w:pStyle w:val="0"/>
        <w:spacing w:before="240"/>
        <w:ind w:firstLine="540"/>
        <w:jc w:val="both"/>
      </w:pPr>
      <w:r>
        <w:rPr>
          <w:sz w:val="24"/>
        </w:rPr>
        <w:t xml:space="preserve">F</w:t>
      </w:r>
      <w:r>
        <w:rPr>
          <w:sz w:val="24"/>
          <w:vertAlign w:val="subscript"/>
        </w:rPr>
        <w:t xml:space="preserve">in</w:t>
      </w:r>
      <w:r>
        <w:rPr>
          <w:sz w:val="24"/>
        </w:rPr>
        <w:t xml:space="preserve"> - количество баллов, присвоенных n-му заявителю по i-му критерию.</w:t>
      </w:r>
    </w:p>
    <w:p>
      <w:pPr>
        <w:pStyle w:val="0"/>
        <w:spacing w:before="240"/>
        <w:ind w:firstLine="540"/>
        <w:jc w:val="both"/>
      </w:pPr>
      <w:r>
        <w:rPr>
          <w:sz w:val="24"/>
        </w:rPr>
        <w:t xml:space="preserve">При этом количество баллов, присваиваемых заявителю по каждому критерию, определяется как среднее арифметическое количество баллов, полученных по результатам оценки заявки от каждого члена комиссии. Среднее арифметическое количество баллов определяется путем суммирования баллов, присвоенных каждым членом комиссии, и последующего деления результата на количество таких членов;</w:t>
      </w:r>
    </w:p>
    <w:p>
      <w:pPr>
        <w:pStyle w:val="0"/>
        <w:spacing w:before="240"/>
        <w:ind w:firstLine="540"/>
        <w:jc w:val="both"/>
      </w:pPr>
      <w:r>
        <w:rPr>
          <w:sz w:val="24"/>
        </w:rPr>
        <w:t xml:space="preserve">13) после определения количества баллов всем заявкам каждой из них присваивается порядковый номер. Первый номер присваивается заявке с наибольшим количеством баллов, последующие порядковые номера присваиваются заявкам по мере уменьшения полученных баллов. В случае если количество баллов у двух или более заявок совпадает, порядковый номер присваивается заявкам в порядке очередности их регистрации;</w:t>
      </w:r>
    </w:p>
    <w:p>
      <w:pPr>
        <w:pStyle w:val="0"/>
        <w:spacing w:before="240"/>
        <w:ind w:firstLine="540"/>
        <w:jc w:val="both"/>
      </w:pPr>
      <w:r>
        <w:rPr>
          <w:sz w:val="24"/>
        </w:rPr>
        <w:t xml:space="preserve">14) победителями отбора признаются заявители, которым могут быть предоставлены гранты в запрашиваемом объеме (но не более предельного размера гранта, определяемого в соответствии с </w:t>
      </w:r>
      <w:hyperlink w:tooltip="20. Гранты предоставляются в запрашиваемом объеме, но не более 300000 рублей." w:anchor="P287" w:history="0">
        <w:r>
          <w:rPr>
            <w:color w:val="0000ff"/>
            <w:sz w:val="24"/>
          </w:rPr>
          <w:t xml:space="preserve">пунктом 20</w:t>
        </w:r>
      </w:hyperlink>
      <w:r>
        <w:rPr>
          <w:sz w:val="24"/>
        </w:rPr>
        <w:t xml:space="preserve"> настоящего Порядка) в порядке очередности, установленной в соответствии с </w:t>
      </w:r>
      <w:hyperlink w:tooltip="11) комиссия в течение 15 рабочих дней с даты размещения на едином портале (в случае проведения отбора без использования системы &quot;Электронный бюджет&quot; - с даты размещения на официальном сайте Министерства) протокола рассмотрения заявок осуществляет оценку заявок на предоставление гранта на реализацию проектов по критериям, указанным в таблице." w:anchor="P175" w:history="0">
        <w:r>
          <w:rPr>
            <w:color w:val="0000ff"/>
            <w:sz w:val="24"/>
          </w:rPr>
          <w:t xml:space="preserve">подпунктом 11</w:t>
        </w:r>
      </w:hyperlink>
      <w:r>
        <w:rPr>
          <w:sz w:val="24"/>
        </w:rPr>
        <w:t xml:space="preserve"> настоящего пункта, до исчерпания лимитов бюджетных обязательств, доведенных Министерству на предоставление грантов.</w:t>
      </w:r>
    </w:p>
    <w:bookmarkStart w:id="236" w:name="P236"/>
    <w:bookmarkEnd w:id="236"/>
    <w:p>
      <w:pPr>
        <w:pStyle w:val="0"/>
        <w:spacing w:before="240"/>
        <w:ind w:firstLine="540"/>
        <w:jc w:val="both"/>
      </w:pPr>
      <w:r>
        <w:rPr>
          <w:sz w:val="24"/>
        </w:rPr>
        <w:t xml:space="preserve">В случае недостаточности лимитов бюджетных обязательств для признания заявителя победителем отбора и предоставления ему запрашиваемого размера гранта заявитель с его согласия признается победителем отбора с условием предоставления ему гранта в пределах лимитов бюджетных обязательств, доведенных Министерству на их предоставление.</w:t>
      </w:r>
    </w:p>
    <w:bookmarkStart w:id="237" w:name="P237"/>
    <w:bookmarkEnd w:id="237"/>
    <w:p>
      <w:pPr>
        <w:pStyle w:val="0"/>
        <w:spacing w:before="240"/>
        <w:ind w:firstLine="540"/>
        <w:jc w:val="both"/>
      </w:pPr>
      <w:r>
        <w:rPr>
          <w:sz w:val="24"/>
        </w:rPr>
        <w:t xml:space="preserve">В случае отказа заявителя от признания его победителем отбора на условии, установленном </w:t>
      </w:r>
      <w:hyperlink w:tooltip="В случае недостаточности лимитов бюджетных обязательств для признания заявителя победителем отбора и предоставления ему запрашиваемого размера гранта заявитель с его согласия признается победителем отбора с условием предоставления ему гранта в пределах лимитов бюджетных обязательств, доведенных Министерству на их предоставление." w:anchor="P236" w:history="0">
        <w:r>
          <w:rPr>
            <w:color w:val="0000ff"/>
            <w:sz w:val="24"/>
          </w:rPr>
          <w:t xml:space="preserve">абзацем вторым</w:t>
        </w:r>
      </w:hyperlink>
      <w:r>
        <w:rPr>
          <w:sz w:val="24"/>
        </w:rPr>
        <w:t xml:space="preserve"> настоящего подпункта, на этом же условии победителем признается заявитель, заявке которому присвоен следующий по возрастанию порядковый номер.</w:t>
      </w:r>
    </w:p>
    <w:p>
      <w:pPr>
        <w:pStyle w:val="0"/>
        <w:spacing w:before="240"/>
        <w:ind w:firstLine="540"/>
        <w:jc w:val="both"/>
      </w:pPr>
      <w:r>
        <w:rPr>
          <w:sz w:val="24"/>
        </w:rPr>
        <w:t xml:space="preserve">В случае согласия заявителя на признание его победителем отбора на условии, установленном </w:t>
      </w:r>
      <w:hyperlink w:tooltip="В случае отказа заявителя от признания его победителем отбора на условии, установленном абзацем вторым настоящего подпункта, на этом же условии победителем признается заявитель, заявке которому присвоен следующий по возрастанию порядковый номер." w:anchor="P237" w:history="0">
        <w:r>
          <w:rPr>
            <w:color w:val="0000ff"/>
            <w:sz w:val="24"/>
          </w:rPr>
          <w:t xml:space="preserve">абзацем третьим</w:t>
        </w:r>
      </w:hyperlink>
      <w:r>
        <w:rPr>
          <w:sz w:val="24"/>
        </w:rPr>
        <w:t xml:space="preserve"> настоящего подпункта, предоставление ему гранта осуществляется в пределах остатка лимитов бюджетных обязательств, доведенных Министерству на предоставление гранта. При этом заявитель вправе скорректировать предусмотренные проектом мероприятия и ожидаемые результаты с учетом размера предоставляемого гранта, направив в Министерство уточненный проект в течение трех календарных дней со дня размещения протокола подведения итогов отбора в соответствии с </w:t>
      </w:r>
      <w:hyperlink w:tooltip="15) в целях завершения отбора в течение 3 рабочих дней со дня определения его победителей в системе &quot;Электронный бюджет&quot; формируется протокол подведения итогов отбора, включающий следующую информацию:" w:anchor="P239" w:history="0">
        <w:r>
          <w:rPr>
            <w:color w:val="0000ff"/>
            <w:sz w:val="24"/>
          </w:rPr>
          <w:t xml:space="preserve">подпунктами 15</w:t>
        </w:r>
      </w:hyperlink>
      <w:r>
        <w:rPr>
          <w:sz w:val="24"/>
        </w:rPr>
        <w:t xml:space="preserve"> или </w:t>
      </w:r>
      <w:hyperlink w:tooltip="16) в случае проведения отбора без использования системы &quot;Электронный бюджет&quot; протокол подведения итогов отбора составляется комиссией в течение 3 рабочих дней со дня определения победителей отбора;" w:anchor="P248" w:history="0">
        <w:r>
          <w:rPr>
            <w:color w:val="0000ff"/>
            <w:sz w:val="24"/>
          </w:rPr>
          <w:t xml:space="preserve">16</w:t>
        </w:r>
      </w:hyperlink>
      <w:r>
        <w:rPr>
          <w:sz w:val="24"/>
        </w:rPr>
        <w:t xml:space="preserve"> настоящего пункта;</w:t>
      </w:r>
    </w:p>
    <w:bookmarkStart w:id="239" w:name="P239"/>
    <w:bookmarkEnd w:id="239"/>
    <w:p>
      <w:pPr>
        <w:pStyle w:val="0"/>
        <w:spacing w:before="240"/>
        <w:ind w:firstLine="540"/>
        <w:jc w:val="both"/>
      </w:pPr>
      <w:r>
        <w:rPr>
          <w:sz w:val="24"/>
        </w:rPr>
        <w:t xml:space="preserve">15) в целях завершения отбора в течение 3 рабочих дней со дня определения его победителей в системе "Электронный бюджет" формируется протокол подведения итогов отбора, включающий следующую информацию:</w:t>
      </w:r>
    </w:p>
    <w:p>
      <w:pPr>
        <w:pStyle w:val="0"/>
        <w:spacing w:before="240"/>
        <w:ind w:firstLine="540"/>
        <w:jc w:val="both"/>
      </w:pPr>
      <w:r>
        <w:rPr>
          <w:sz w:val="24"/>
        </w:rPr>
        <w:t xml:space="preserve">а) дата, время и место проведения рассмотрения заявок;</w:t>
      </w:r>
    </w:p>
    <w:p>
      <w:pPr>
        <w:pStyle w:val="0"/>
        <w:spacing w:before="240"/>
        <w:ind w:firstLine="540"/>
        <w:jc w:val="both"/>
      </w:pPr>
      <w:r>
        <w:rPr>
          <w:sz w:val="24"/>
        </w:rPr>
        <w:t xml:space="preserve">б) дата, время и место оценки заявок;</w:t>
      </w:r>
    </w:p>
    <w:p>
      <w:pPr>
        <w:pStyle w:val="0"/>
        <w:spacing w:before="240"/>
        <w:ind w:firstLine="540"/>
        <w:jc w:val="both"/>
      </w:pPr>
      <w:r>
        <w:rPr>
          <w:sz w:val="24"/>
        </w:rPr>
        <w:t xml:space="preserve">в) информация о заявителях, заявки которых были рассмотрены;</w:t>
      </w:r>
    </w:p>
    <w:p>
      <w:pPr>
        <w:pStyle w:val="0"/>
        <w:spacing w:before="240"/>
        <w:ind w:firstLine="540"/>
        <w:jc w:val="both"/>
      </w:pPr>
      <w:r>
        <w:rPr>
          <w:sz w:val="24"/>
        </w:rPr>
        <w:t xml:space="preserve">г) 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соответствовали заявки;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Литерация пунктов дана в соответствии с официальным текстом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д)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0"/>
        <w:spacing w:before="240"/>
        <w:ind w:firstLine="540"/>
        <w:jc w:val="both"/>
      </w:pPr>
      <w:r>
        <w:rPr>
          <w:sz w:val="24"/>
        </w:rPr>
        <w:t xml:space="preserve">г) фамилии, имена и отчества заявителей, с которыми заключаются соглашения о предоставлении грантов, и размеры предоставляемых им грантов;</w:t>
      </w:r>
    </w:p>
    <w:bookmarkStart w:id="248" w:name="P248"/>
    <w:bookmarkEnd w:id="248"/>
    <w:p>
      <w:pPr>
        <w:pStyle w:val="0"/>
        <w:spacing w:before="240"/>
        <w:ind w:firstLine="540"/>
        <w:jc w:val="both"/>
      </w:pPr>
      <w:r>
        <w:rPr>
          <w:sz w:val="24"/>
        </w:rPr>
        <w:t xml:space="preserve">16) в случае проведения отбора без использования системы "Электронный бюджет" протокол подведения итогов отбора составляется комиссией в течение 3 рабочих дней со дня определения победителей отбора;</w:t>
      </w:r>
    </w:p>
    <w:p>
      <w:pPr>
        <w:pStyle w:val="0"/>
        <w:spacing w:before="240"/>
        <w:ind w:firstLine="540"/>
        <w:jc w:val="both"/>
      </w:pPr>
      <w:r>
        <w:rPr>
          <w:sz w:val="24"/>
        </w:rPr>
        <w:t xml:space="preserve">17) при указании в протоколе подведения итогов отбора размера гранта, предусмотренного для предоставления заявителю, в случае несоответствия запрашиваемого им размера гранта, установленного </w:t>
      </w:r>
      <w:hyperlink w:tooltip="20. Гранты предоставляются в запрашиваемом объеме, но не более 300000 рублей." w:anchor="P287" w:history="0">
        <w:r>
          <w:rPr>
            <w:color w:val="0000ff"/>
            <w:sz w:val="24"/>
          </w:rPr>
          <w:t xml:space="preserve">пунктом 20</w:t>
        </w:r>
      </w:hyperlink>
      <w:r>
        <w:rPr>
          <w:sz w:val="24"/>
        </w:rPr>
        <w:t xml:space="preserve"> настоящего Порядка, комиссия может скорректировать размер гранта, предусмотренного для предоставления такому заявителю, но не выше размера, указанного в заявке;</w:t>
      </w:r>
    </w:p>
    <w:p>
      <w:pPr>
        <w:pStyle w:val="0"/>
        <w:spacing w:before="240"/>
        <w:ind w:firstLine="540"/>
        <w:jc w:val="both"/>
      </w:pPr>
      <w:r>
        <w:rPr>
          <w:sz w:val="24"/>
        </w:rPr>
        <w:t xml:space="preserve">18) в случае проведения отбора с использованием системы "Электронный бюджет" протокол подведения итогов отбора подписывается усиленной квалифицированной электронной подписью председателя комиссии в системе "Электронный бюджет" и размещается Министерством на едином портале не позднее рабочего дня, следующего за днем его подписания.</w:t>
      </w:r>
    </w:p>
    <w:p>
      <w:pPr>
        <w:pStyle w:val="0"/>
        <w:spacing w:before="240"/>
        <w:ind w:firstLine="540"/>
        <w:jc w:val="both"/>
      </w:pPr>
      <w:r>
        <w:rPr>
          <w:sz w:val="24"/>
        </w:rPr>
        <w:t xml:space="preserve">В случае проведения отбора без использования системы "Электронный бюджет" протокол подведения итогов отбора подписывается председателем комиссии и размещается на официальном сайте Министерства не позднее рабочего дня, следующего за днем его подписания;</w:t>
      </w:r>
    </w:p>
    <w:p>
      <w:pPr>
        <w:pStyle w:val="0"/>
        <w:spacing w:before="240"/>
        <w:ind w:firstLine="540"/>
        <w:jc w:val="both"/>
      </w:pPr>
      <w:r>
        <w:rPr>
          <w:sz w:val="24"/>
        </w:rPr>
        <w:t xml:space="preserve">19) в случае проведения отбора с использованием системы "Электронный бюджет" 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p>
    <w:p>
      <w:pPr>
        <w:pStyle w:val="0"/>
        <w:spacing w:before="240"/>
        <w:ind w:firstLine="540"/>
        <w:jc w:val="both"/>
      </w:pPr>
      <w:r>
        <w:rPr>
          <w:sz w:val="24"/>
        </w:rPr>
        <w:t xml:space="preserve">В случае проведения отбора без использования системы "Электронный бюджет" не позднее 10 календарных дней со дня подписания протокола подведения итогов отбора составляется и размещается на официальном сайте Министерства новый протокол подведения итогов отбора, к которому прилагается пояснительная записка с указанием причин внесения изменений.</w:t>
      </w:r>
    </w:p>
    <w:p>
      <w:pPr>
        <w:pStyle w:val="0"/>
        <w:jc w:val="both"/>
      </w:pPr>
      <w:r>
        <w:rPr>
          <w:sz w:val="24"/>
        </w:rPr>
      </w:r>
    </w:p>
    <w:p>
      <w:pPr>
        <w:pStyle w:val="2"/>
        <w:jc w:val="center"/>
        <w:outlineLvl w:val="1"/>
      </w:pPr>
      <w:r>
        <w:rPr>
          <w:sz w:val="24"/>
        </w:rPr>
        <w:t xml:space="preserve">III. Условия и порядок предоставления гранта</w:t>
      </w:r>
    </w:p>
    <w:p>
      <w:pPr>
        <w:pStyle w:val="0"/>
        <w:jc w:val="both"/>
      </w:pPr>
      <w:r>
        <w:rPr>
          <w:sz w:val="24"/>
        </w:rPr>
      </w:r>
    </w:p>
    <w:bookmarkStart w:id="257" w:name="P257"/>
    <w:bookmarkEnd w:id="257"/>
    <w:p>
      <w:pPr>
        <w:pStyle w:val="0"/>
        <w:ind w:firstLine="540"/>
        <w:jc w:val="both"/>
      </w:pPr>
      <w:r>
        <w:rPr>
          <w:sz w:val="24"/>
        </w:rPr>
        <w:t xml:space="preserve">17. Гранты предоставляются на следующих условиях:</w:t>
      </w:r>
    </w:p>
    <w:p>
      <w:pPr>
        <w:pStyle w:val="0"/>
        <w:spacing w:before="240"/>
        <w:ind w:firstLine="540"/>
        <w:jc w:val="both"/>
      </w:pPr>
      <w:r>
        <w:rPr>
          <w:sz w:val="24"/>
        </w:rPr>
        <w:t xml:space="preserve">1) заявитель вправе использовать полученные средства на создание следующих видов продуктов (ресурсов):</w:t>
      </w:r>
    </w:p>
    <w:p>
      <w:pPr>
        <w:pStyle w:val="0"/>
        <w:spacing w:before="240"/>
        <w:ind w:firstLine="540"/>
        <w:jc w:val="both"/>
      </w:pPr>
      <w:r>
        <w:rPr>
          <w:sz w:val="24"/>
        </w:rPr>
        <w:t xml:space="preserve">а) цифровые продукты (ресурсы) - компьютерные программы, интернет-сайты, приложения или связанные наборы файлов, которые доступны для использования через информационно-телекоммуникационную сеть "Интернет" или программное обеспечение (мобильные приложения, веб-сайты, образовательные онлайн-платформы, онлайн-курсы, видеоматериалы, аудиокниги, аудиофайлы);</w:t>
      </w:r>
    </w:p>
    <w:p>
      <w:pPr>
        <w:pStyle w:val="0"/>
        <w:spacing w:before="240"/>
        <w:ind w:firstLine="540"/>
        <w:jc w:val="both"/>
      </w:pPr>
      <w:r>
        <w:rPr>
          <w:sz w:val="24"/>
        </w:rPr>
        <w:t xml:space="preserve">б) печатные и визуальные продукты (ресурсы) - материалы, произведенные с помощью технологий печати, предназначенные для передачи информации или продвижения товаров и услуг (настольные игры, художественные произведения, учебники, справочники, блокноты, папки, конверты, плакаты, листовки, буклеты, каталоги, наклейки, стикеры);</w:t>
      </w:r>
    </w:p>
    <w:p>
      <w:pPr>
        <w:pStyle w:val="0"/>
        <w:spacing w:before="240"/>
        <w:ind w:firstLine="540"/>
        <w:jc w:val="both"/>
      </w:pPr>
      <w:r>
        <w:rPr>
          <w:sz w:val="24"/>
        </w:rPr>
        <w:t xml:space="preserve">2) заявитель вправе использовать полученные средства на покрытие следующих расходов, связанных соответственно с реализацией проектов:</w:t>
      </w:r>
    </w:p>
    <w:p>
      <w:pPr>
        <w:pStyle w:val="0"/>
        <w:spacing w:before="240"/>
        <w:ind w:firstLine="540"/>
        <w:jc w:val="both"/>
      </w:pPr>
      <w:r>
        <w:rPr>
          <w:sz w:val="24"/>
        </w:rPr>
        <w:t xml:space="preserve">а) питание и проживание участников;</w:t>
      </w:r>
    </w:p>
    <w:p>
      <w:pPr>
        <w:pStyle w:val="0"/>
        <w:spacing w:before="240"/>
        <w:ind w:firstLine="540"/>
        <w:jc w:val="both"/>
      </w:pPr>
      <w:r>
        <w:rPr>
          <w:sz w:val="24"/>
        </w:rPr>
        <w:t xml:space="preserve">б) проезд участников;</w:t>
      </w:r>
    </w:p>
    <w:p>
      <w:pPr>
        <w:pStyle w:val="0"/>
        <w:spacing w:before="240"/>
        <w:ind w:firstLine="540"/>
        <w:jc w:val="both"/>
      </w:pPr>
      <w:r>
        <w:rPr>
          <w:sz w:val="24"/>
        </w:rPr>
        <w:t xml:space="preserve">в) оплата услуг привлеченных специалистов (программист, дизайнер), экспертов;</w:t>
      </w:r>
    </w:p>
    <w:p>
      <w:pPr>
        <w:pStyle w:val="0"/>
        <w:spacing w:before="240"/>
        <w:ind w:firstLine="540"/>
        <w:jc w:val="both"/>
      </w:pPr>
      <w:r>
        <w:rPr>
          <w:sz w:val="24"/>
        </w:rPr>
        <w:t xml:space="preserve">г) аренда помещений и транспорта;</w:t>
      </w:r>
    </w:p>
    <w:p>
      <w:pPr>
        <w:pStyle w:val="0"/>
        <w:spacing w:before="240"/>
        <w:ind w:firstLine="540"/>
        <w:jc w:val="both"/>
      </w:pPr>
      <w:r>
        <w:rPr>
          <w:sz w:val="24"/>
        </w:rPr>
        <w:t xml:space="preserve">д) оплата организационных взносов;</w:t>
      </w:r>
    </w:p>
    <w:p>
      <w:pPr>
        <w:pStyle w:val="0"/>
        <w:spacing w:before="240"/>
        <w:ind w:firstLine="540"/>
        <w:jc w:val="both"/>
      </w:pPr>
      <w:r>
        <w:rPr>
          <w:sz w:val="24"/>
        </w:rPr>
        <w:t xml:space="preserve">е) изготовление печатной продукции;</w:t>
      </w:r>
    </w:p>
    <w:p>
      <w:pPr>
        <w:pStyle w:val="0"/>
        <w:spacing w:before="240"/>
        <w:ind w:firstLine="540"/>
        <w:jc w:val="both"/>
      </w:pPr>
      <w:r>
        <w:rPr>
          <w:sz w:val="24"/>
        </w:rPr>
        <w:t xml:space="preserve">ж) оплата информационных услуг;</w:t>
      </w:r>
    </w:p>
    <w:p>
      <w:pPr>
        <w:pStyle w:val="0"/>
        <w:spacing w:before="240"/>
        <w:ind w:firstLine="540"/>
        <w:jc w:val="both"/>
      </w:pPr>
      <w:r>
        <w:rPr>
          <w:sz w:val="24"/>
        </w:rPr>
        <w:t xml:space="preserve">з) приобретение инвентаря, расходных материалов и канцелярских товаров;</w:t>
      </w:r>
    </w:p>
    <w:p>
      <w:pPr>
        <w:pStyle w:val="0"/>
        <w:spacing w:before="240"/>
        <w:ind w:firstLine="540"/>
        <w:jc w:val="both"/>
      </w:pPr>
      <w:r>
        <w:rPr>
          <w:sz w:val="24"/>
        </w:rPr>
        <w:t xml:space="preserve">и) аренда аппаратуры, инвентаря;</w:t>
      </w:r>
    </w:p>
    <w:p>
      <w:pPr>
        <w:pStyle w:val="0"/>
        <w:spacing w:before="240"/>
        <w:ind w:firstLine="540"/>
        <w:jc w:val="both"/>
      </w:pPr>
      <w:r>
        <w:rPr>
          <w:sz w:val="24"/>
        </w:rPr>
        <w:t xml:space="preserve">к) оплата услуг координатора, руководителя проекта;</w:t>
      </w:r>
    </w:p>
    <w:p>
      <w:pPr>
        <w:pStyle w:val="0"/>
        <w:spacing w:before="240"/>
        <w:ind w:firstLine="540"/>
        <w:jc w:val="both"/>
      </w:pPr>
      <w:r>
        <w:rPr>
          <w:sz w:val="24"/>
        </w:rPr>
        <w:t xml:space="preserve">л) прочие расходы, непосредственно связанные с реализацией проекта;</w:t>
      </w:r>
    </w:p>
    <w:p>
      <w:pPr>
        <w:pStyle w:val="0"/>
        <w:spacing w:before="240"/>
        <w:ind w:firstLine="540"/>
        <w:jc w:val="both"/>
      </w:pPr>
      <w:r>
        <w:rPr>
          <w:sz w:val="24"/>
        </w:rPr>
        <w:t xml:space="preserve">3) заявителю запрещается приобретать за счет средств предоставленного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ind w:firstLine="540"/>
        <w:jc w:val="both"/>
      </w:pPr>
      <w:r>
        <w:rPr>
          <w:sz w:val="24"/>
        </w:rPr>
        <w:t xml:space="preserve">4) заявителю запрещается использовать средства гранта в целях их размещения на депозитных счетах, а также вложения их в иные финансовые инструменты;</w:t>
      </w:r>
    </w:p>
    <w:bookmarkStart w:id="275" w:name="P275"/>
    <w:bookmarkEnd w:id="275"/>
    <w:p>
      <w:pPr>
        <w:pStyle w:val="0"/>
        <w:spacing w:before="240"/>
        <w:ind w:firstLine="540"/>
        <w:jc w:val="both"/>
      </w:pPr>
      <w:r>
        <w:rPr>
          <w:sz w:val="24"/>
        </w:rPr>
        <w:t xml:space="preserve">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ind w:firstLine="540"/>
        <w:jc w:val="both"/>
      </w:pPr>
      <w:r>
        <w:rPr>
          <w:sz w:val="24"/>
        </w:rPr>
        <w:t xml:space="preserve">6) лица, являющиеся поставщиками (подрядчиками, исполнителями) по договорам (соглашениям), заключенным заявителем в целях исполнения своих обязательств по соглашению, согласны на осуществление в отношении их проверок, указанных в </w:t>
      </w:r>
      <w:hyperlink w:tooltip="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w:anchor="P275" w:history="0">
        <w:r>
          <w:rPr>
            <w:color w:val="0000ff"/>
            <w:sz w:val="24"/>
          </w:rPr>
          <w:t xml:space="preserve">подпункте 5</w:t>
        </w:r>
      </w:hyperlink>
      <w:r>
        <w:rPr>
          <w:sz w:val="24"/>
        </w:rPr>
        <w:t xml:space="preserve"> настоящего пункта;</w:t>
      </w:r>
    </w:p>
    <w:p>
      <w:pPr>
        <w:pStyle w:val="0"/>
        <w:spacing w:before="240"/>
        <w:ind w:firstLine="540"/>
        <w:jc w:val="both"/>
      </w:pPr>
      <w:r>
        <w:rPr>
          <w:sz w:val="24"/>
        </w:rPr>
        <w:t xml:space="preserve">7) заявитель обязан включать в договоры (соглашения), заключаемые с поставщиками (подрядчиками, исполнителями), оплата по которым будет осуществляться с использованием средств гранта, условие о согласии указанных поставщиков (подрядчиков, исполнителей)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проверок, указанных в </w:t>
      </w:r>
      <w:hyperlink w:tooltip="5) заявитель согласен на осуществление в отношении его проверок Министерством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w:anchor="P275" w:history="0">
        <w:r>
          <w:rPr>
            <w:color w:val="0000ff"/>
            <w:sz w:val="24"/>
          </w:rPr>
          <w:t xml:space="preserve">подпункте 5</w:t>
        </w:r>
      </w:hyperlink>
      <w:r>
        <w:rPr>
          <w:sz w:val="24"/>
        </w:rPr>
        <w:t xml:space="preserve"> настоящего пункта;</w:t>
      </w:r>
    </w:p>
    <w:p>
      <w:pPr>
        <w:pStyle w:val="0"/>
        <w:spacing w:before="240"/>
        <w:ind w:firstLine="540"/>
        <w:jc w:val="both"/>
      </w:pPr>
      <w:r>
        <w:rPr>
          <w:sz w:val="24"/>
        </w:rPr>
        <w:t xml:space="preserve">8) заявитель обязан достигнуть в году предоставления гранта значений результата и характеристик результата предоставления гранта, установленных Министерством в соглашении в соответствии с </w:t>
      </w:r>
      <w:hyperlink w:tooltip="25. Характеристиками результата предоставления гранта являются:" w:anchor="P295" w:history="0">
        <w:r>
          <w:rPr>
            <w:color w:val="0000ff"/>
            <w:sz w:val="24"/>
          </w:rPr>
          <w:t xml:space="preserve">пунктом 25</w:t>
        </w:r>
      </w:hyperlink>
      <w:r>
        <w:rPr>
          <w:sz w:val="24"/>
        </w:rPr>
        <w:t xml:space="preserve"> настоящего Порядка;</w:t>
      </w:r>
    </w:p>
    <w:p>
      <w:pPr>
        <w:pStyle w:val="0"/>
        <w:spacing w:before="240"/>
        <w:ind w:firstLine="540"/>
        <w:jc w:val="both"/>
      </w:pPr>
      <w:r>
        <w:rPr>
          <w:sz w:val="24"/>
        </w:rPr>
        <w:t xml:space="preserve">9) созданный цифровой продукт (ресурс) на государственных языках Удмуртской Республики и иных языках народов Удмуртской Республики в рамках реализации проекта должен быть размещен информационно-телекоммуникационную сеть "Интернет" в свободном доступе;</w:t>
      </w:r>
    </w:p>
    <w:p>
      <w:pPr>
        <w:pStyle w:val="0"/>
        <w:spacing w:before="240"/>
        <w:ind w:firstLine="540"/>
        <w:jc w:val="both"/>
      </w:pPr>
      <w:r>
        <w:rPr>
          <w:sz w:val="24"/>
        </w:rPr>
        <w:t xml:space="preserve">10) созданный печатный или визуальный продукт (ресурс) на государственных языках Удмуртской Республики и иных языках народов Удмуртской Республики в рамках реализации проекта подлежит бесплатному распространению и использованию неограниченным кругом лиц.</w:t>
      </w:r>
    </w:p>
    <w:p>
      <w:pPr>
        <w:pStyle w:val="0"/>
        <w:spacing w:before="240"/>
        <w:ind w:firstLine="540"/>
        <w:jc w:val="both"/>
      </w:pPr>
      <w:r>
        <w:rPr>
          <w:sz w:val="24"/>
        </w:rPr>
        <w:t xml:space="preserve">18. Основаниями для принятия решения об отказе в предоставлении гранта являются:</w:t>
      </w:r>
    </w:p>
    <w:p>
      <w:pPr>
        <w:pStyle w:val="0"/>
        <w:spacing w:before="240"/>
        <w:ind w:firstLine="540"/>
        <w:jc w:val="both"/>
      </w:pPr>
      <w:r>
        <w:rPr>
          <w:sz w:val="24"/>
        </w:rPr>
        <w:t xml:space="preserve">1) несоответствие представленных заявителем документов требованиям, установленным </w:t>
      </w:r>
      <w:hyperlink w:tooltip="13. Требования, предъявляемые к форме и содержанию заявок, подаваемых заявителями:" w:anchor="P104" w:history="0">
        <w:r>
          <w:rPr>
            <w:color w:val="0000ff"/>
            <w:sz w:val="24"/>
          </w:rPr>
          <w:t xml:space="preserve">пунктом 13</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ind w:firstLine="540"/>
        <w:jc w:val="both"/>
      </w:pPr>
      <w:r>
        <w:rPr>
          <w:sz w:val="24"/>
        </w:rPr>
        <w:t xml:space="preserve">2) установление факта недостоверности представленной заявителем информации;</w:t>
      </w:r>
    </w:p>
    <w:p>
      <w:pPr>
        <w:pStyle w:val="0"/>
        <w:spacing w:before="240"/>
        <w:ind w:firstLine="540"/>
        <w:jc w:val="both"/>
      </w:pPr>
      <w:r>
        <w:rPr>
          <w:sz w:val="24"/>
        </w:rPr>
        <w:t xml:space="preserve">3) несоответствие заявителя категории, установленной </w:t>
      </w:r>
      <w:hyperlink w:tooltip="5. К категории получателей грантов относятся граждане Российской Федерации в возрасте от 18 до 35 лет включительно, проживающие на территории Удмуртской Республики (далее - заявители)." w:anchor="P50" w:history="0">
        <w:r>
          <w:rPr>
            <w:color w:val="0000ff"/>
            <w:sz w:val="24"/>
          </w:rPr>
          <w:t xml:space="preserve">пунктом 5</w:t>
        </w:r>
      </w:hyperlink>
      <w:r>
        <w:rPr>
          <w:sz w:val="24"/>
        </w:rPr>
        <w:t xml:space="preserve"> настоящего Порядка, и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4"/>
          </w:rPr>
          <w:t xml:space="preserve">пунктом 12</w:t>
        </w:r>
      </w:hyperlink>
      <w:r>
        <w:rPr>
          <w:sz w:val="24"/>
        </w:rPr>
        <w:t xml:space="preserve"> настоящего Порядка;</w:t>
      </w:r>
    </w:p>
    <w:p>
      <w:pPr>
        <w:pStyle w:val="0"/>
        <w:spacing w:before="240"/>
        <w:ind w:firstLine="540"/>
        <w:jc w:val="both"/>
      </w:pPr>
      <w:r>
        <w:rPr>
          <w:sz w:val="24"/>
        </w:rPr>
        <w:t xml:space="preserve">4) отсутствие или недостаточность лимитов бюджетных обязательств, доведенных в установленном порядке Министерству на предоставление гранта.</w:t>
      </w:r>
    </w:p>
    <w:p>
      <w:pPr>
        <w:pStyle w:val="0"/>
        <w:spacing w:before="240"/>
        <w:ind w:firstLine="540"/>
        <w:jc w:val="both"/>
      </w:pPr>
      <w:r>
        <w:rPr>
          <w:sz w:val="24"/>
        </w:rPr>
        <w:t xml:space="preserve">19. В случае принятия решения об отказе в предоставлении гранта Министерство не позднее 5 рабочих дней со дня его принятия направляет заявителю соответствующее уведомление с указанием причин, послуживших основаниями для его принятия.</w:t>
      </w:r>
    </w:p>
    <w:bookmarkStart w:id="287" w:name="P287"/>
    <w:bookmarkEnd w:id="287"/>
    <w:p>
      <w:pPr>
        <w:pStyle w:val="0"/>
        <w:spacing w:before="240"/>
        <w:ind w:firstLine="540"/>
        <w:jc w:val="both"/>
      </w:pPr>
      <w:r>
        <w:rPr>
          <w:sz w:val="24"/>
        </w:rPr>
        <w:t xml:space="preserve">20. Гранты предоставляются в запрашиваемом объеме, но не более 300000 рублей.</w:t>
      </w:r>
    </w:p>
    <w:p>
      <w:pPr>
        <w:pStyle w:val="0"/>
        <w:jc w:val="both"/>
      </w:pPr>
      <w:r>
        <w:rPr>
          <w:sz w:val="24"/>
        </w:rPr>
        <w:t xml:space="preserve">(п. 20 в ред. </w:t>
      </w:r>
      <w:r>
        <w:rPr>
          <w:sz w:val="24"/>
        </w:rPr>
        <w:t xml:space="preserve">постановления</w:t>
      </w:r>
      <w:r>
        <w:rPr>
          <w:sz w:val="24"/>
        </w:rPr>
        <w:t xml:space="preserve"> Правительства УР от 05.05.2026 N 283)</w:t>
      </w:r>
    </w:p>
    <w:p>
      <w:pPr>
        <w:pStyle w:val="0"/>
        <w:spacing w:before="240"/>
        <w:ind w:firstLine="540"/>
        <w:jc w:val="both"/>
      </w:pPr>
      <w:r>
        <w:rPr>
          <w:sz w:val="24"/>
        </w:rPr>
        <w:t xml:space="preserve">21. В случае принятия решения о предоставлении гранта Министерство заключает с заявителем соглашение о предоставлении гранта в соответствии с типовой формой, установленной Министерством финансов Удмуртской Республики (далее - соглашение), в которое включается в том числе требование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bookmarkStart w:id="290" w:name="P290"/>
    <w:bookmarkEnd w:id="290"/>
    <w:p>
      <w:pPr>
        <w:pStyle w:val="0"/>
        <w:spacing w:before="240"/>
        <w:ind w:firstLine="540"/>
        <w:jc w:val="both"/>
      </w:pPr>
      <w:r>
        <w:rPr>
          <w:sz w:val="24"/>
        </w:rPr>
        <w:t xml:space="preserve">22. В случае принятия решения о предоставлении гранта Министерство в течение 15 рабочих дней со дня принятия указанного решения направляет заявителю проект соглашения в системе "Электронный бюджет" (при наличии технической возможности).</w:t>
      </w:r>
    </w:p>
    <w:p>
      <w:pPr>
        <w:pStyle w:val="0"/>
        <w:spacing w:before="240"/>
        <w:ind w:firstLine="540"/>
        <w:jc w:val="both"/>
      </w:pPr>
      <w:r>
        <w:rPr>
          <w:sz w:val="24"/>
        </w:rPr>
        <w:t xml:space="preserve">Для заключения соглашения заявитель обязан подписать соглашение в системе "Электронный бюджет" в течение 7 рабочих дней со дня получения его проекта. В случае неподписания соглашения в указанный срок заявитель считается уклонившимся от заключения соглашения и грант ему не предоставляется.</w:t>
      </w:r>
    </w:p>
    <w:p>
      <w:pPr>
        <w:pStyle w:val="0"/>
        <w:spacing w:before="240"/>
        <w:ind w:firstLine="540"/>
        <w:jc w:val="both"/>
      </w:pPr>
      <w:r>
        <w:rPr>
          <w:sz w:val="24"/>
        </w:rPr>
        <w:t xml:space="preserve">При отсутствии технической возможности заключения соглашения в системе "Электронный бюджет" оно заключается на бумажном носителе в порядке и в сроки, указанные в настоящем пункте.</w:t>
      </w:r>
    </w:p>
    <w:p>
      <w:pPr>
        <w:pStyle w:val="0"/>
        <w:spacing w:before="240"/>
        <w:ind w:firstLine="540"/>
        <w:jc w:val="both"/>
      </w:pPr>
      <w:r>
        <w:rPr>
          <w:sz w:val="24"/>
        </w:rPr>
        <w:t xml:space="preserve">23. В случае необходимости внесения изменений в заключенное соглашение Министерство и заявитель заключают в системе "Электронный бюджет" (при отсутствии технической возможности - на бумажном носителе) дополнительное соглашение к указанному соглашению в соответствии с типовой формой, установленной Министерством финансов Удмуртской Республики в порядке и сроки, указанные в </w:t>
      </w:r>
      <w:hyperlink w:tooltip="22. В случае принятия решения о предоставлении гранта Министерство в течение 15 рабочих дней со дня принятия указанного решения направляет заявителю проект соглашения в системе &quot;Электронный бюджет&quot; (при наличии технической возможности)." w:anchor="P290" w:history="0">
        <w:r>
          <w:rPr>
            <w:color w:val="0000ff"/>
            <w:sz w:val="24"/>
          </w:rPr>
          <w:t xml:space="preserve">пункте 22</w:t>
        </w:r>
      </w:hyperlink>
      <w:r>
        <w:rPr>
          <w:sz w:val="24"/>
        </w:rPr>
        <w:t xml:space="preserve"> настоящего Порядка.</w:t>
      </w:r>
    </w:p>
    <w:bookmarkStart w:id="294" w:name="P294"/>
    <w:bookmarkEnd w:id="294"/>
    <w:p>
      <w:pPr>
        <w:pStyle w:val="0"/>
        <w:spacing w:before="240"/>
        <w:ind w:firstLine="540"/>
        <w:jc w:val="both"/>
      </w:pPr>
      <w:r>
        <w:rPr>
          <w:sz w:val="24"/>
        </w:rPr>
        <w:t xml:space="preserve">24. Результатом предоставления гранта является количество реализованных молодежных проектов в сфере государственной национальной политики (единиц).</w:t>
      </w:r>
    </w:p>
    <w:bookmarkStart w:id="295" w:name="P295"/>
    <w:bookmarkEnd w:id="295"/>
    <w:p>
      <w:pPr>
        <w:pStyle w:val="0"/>
        <w:spacing w:before="240"/>
        <w:ind w:firstLine="540"/>
        <w:jc w:val="both"/>
      </w:pPr>
      <w:r>
        <w:rPr>
          <w:sz w:val="24"/>
        </w:rPr>
        <w:t xml:space="preserve">25. Характеристиками результата предоставления гранта являются:</w:t>
      </w:r>
    </w:p>
    <w:p>
      <w:pPr>
        <w:pStyle w:val="0"/>
        <w:spacing w:before="240"/>
        <w:ind w:firstLine="540"/>
        <w:jc w:val="both"/>
      </w:pPr>
      <w:r>
        <w:rPr>
          <w:sz w:val="24"/>
        </w:rPr>
        <w:t xml:space="preserve">1) количество участников, принявших участие в молодежном проекте (человек);</w:t>
      </w:r>
    </w:p>
    <w:p>
      <w:pPr>
        <w:pStyle w:val="0"/>
        <w:spacing w:before="240"/>
        <w:ind w:firstLine="540"/>
        <w:jc w:val="both"/>
      </w:pPr>
      <w:r>
        <w:rPr>
          <w:sz w:val="24"/>
        </w:rPr>
        <w:t xml:space="preserve">2) количество уникальных размещений (публикаций в средствах массовой информации и социальных сетях) о реализации молодежного проекта и презентации созданного продукта (ресурса) (единиц);</w:t>
      </w:r>
    </w:p>
    <w:p>
      <w:pPr>
        <w:pStyle w:val="0"/>
        <w:spacing w:before="240"/>
        <w:ind w:firstLine="540"/>
        <w:jc w:val="both"/>
      </w:pPr>
      <w:r>
        <w:rPr>
          <w:sz w:val="24"/>
        </w:rPr>
        <w:t xml:space="preserve">3) количество созданных продуктов (ресурсов) в рамках реализации молодежного проекта (единиц).</w:t>
      </w:r>
    </w:p>
    <w:p>
      <w:pPr>
        <w:pStyle w:val="0"/>
        <w:spacing w:before="240"/>
        <w:ind w:firstLine="540"/>
        <w:jc w:val="both"/>
      </w:pPr>
      <w:r>
        <w:rPr>
          <w:sz w:val="24"/>
        </w:rPr>
        <w:t xml:space="preserve">26. Значение результата предоставления гранта и значения его характеристик устанавливаются Министерством в соглашении в соответствии с результатом и характеристиками результата предоставления гранта, указанными в заявке заявителем.</w:t>
      </w:r>
    </w:p>
    <w:p>
      <w:pPr>
        <w:pStyle w:val="0"/>
        <w:spacing w:before="240"/>
        <w:ind w:firstLine="540"/>
        <w:jc w:val="both"/>
      </w:pPr>
      <w:r>
        <w:rPr>
          <w:sz w:val="24"/>
        </w:rPr>
        <w:t xml:space="preserve">27. Перечисление гранта осуществляется Министерством в установленном порядке на счет заявителя, открытый в российской кредитной организации, не позднее 30 рабочих дней после дня заключения соглашения.</w:t>
      </w:r>
    </w:p>
    <w:p>
      <w:pPr>
        <w:pStyle w:val="0"/>
        <w:spacing w:before="240"/>
        <w:ind w:firstLine="540"/>
        <w:jc w:val="both"/>
      </w:pPr>
      <w:r>
        <w:rPr>
          <w:sz w:val="24"/>
        </w:rPr>
        <w:t xml:space="preserve">28. Не использованные по состоянию на 1 января очередного финансового года остатки гранта, предоставленные в отчетном финансовом году, могут быть направлены получателем гранта на цели, указанные в </w:t>
      </w:r>
      <w:hyperlink w:tooltip="1. Настоящий Порядок в целях достижения показателей государственной программы Удмуртской Республики &quot;Сохранение, изучение и развитие государственных языков Удмуртской Республики и иных языков народов Удмуртской Республики&quot;, утвержденной постановлением Правительства Удмуртской Республики от 20 ноября 2023 года N 748, определяет цели, порядок и условия предоставления и распределения грантов в форме субсидий из бюджета Удмуртской Республики физическим лицам в целях финансового обеспечения затрат на реализац..." w:anchor="P42" w:history="0">
        <w:r>
          <w:rPr>
            <w:color w:val="0000ff"/>
            <w:sz w:val="24"/>
          </w:rPr>
          <w:t xml:space="preserve">пункте 1</w:t>
        </w:r>
      </w:hyperlink>
      <w:r>
        <w:rPr>
          <w:sz w:val="24"/>
        </w:rPr>
        <w:t xml:space="preserve"> настоящего Порядка, в случае принятия Министерством в </w:t>
      </w:r>
      <w:r>
        <w:rPr>
          <w:sz w:val="24"/>
        </w:rPr>
        <w:t xml:space="preserve">порядке</w:t>
      </w:r>
      <w:r>
        <w:rPr>
          <w:sz w:val="24"/>
        </w:rPr>
        <w:t xml:space="preserve">, утвержденном постановлением Правительства Удмуртской Республики от 16 июня 2021 года N 298 "Об утверждении Порядка принятия главными распорядителями средств бюджета Удмуртской Республики решений о наличии потребности в остатках субсидий, в том числе грантов в форме субсидий, предоставленных юридическим лицам (за исключением субсидий государственным (муниципальным) учреждениям), индивидуальным предпринимателям, </w:t>
      </w:r>
      <w:r>
        <w:rPr>
          <w:sz w:val="24"/>
          <w:highlight w:val="yellow"/>
        </w:rPr>
        <w:t xml:space="preserve">а также физическим лицам - производителям товаров, работ, услуг</w:t>
      </w:r>
      <w:r>
        <w:rPr>
          <w:sz w:val="24"/>
        </w:rPr>
        <w:t xml:space="preserve"> в целях финансового обеспечения их затрат и не использованных в отчетном финансовом году, или о возврате указанных средств при отсутствии в них потребности" (далее - Порядок принятия решения о наличии потребности в остатках субсидии), решения о наличии потребности в указанных средствах. При отсутствии потребности в остатках субсидии они подлежат возврату в бюджет Удмуртской Республики в порядке и сроки, установленные Порядком принятия решения о наличии потребности в остатках субсидии. Указанные положения подлежат включению в соглашение.</w:t>
      </w:r>
    </w:p>
    <w:p>
      <w:pPr>
        <w:pStyle w:val="0"/>
        <w:jc w:val="both"/>
      </w:pPr>
      <w:r>
        <w:rPr>
          <w:sz w:val="24"/>
        </w:rPr>
      </w:r>
    </w:p>
    <w:p>
      <w:pPr>
        <w:pStyle w:val="2"/>
        <w:jc w:val="center"/>
        <w:outlineLvl w:val="1"/>
      </w:pPr>
      <w:r>
        <w:rPr>
          <w:sz w:val="24"/>
        </w:rPr>
        <w:t xml:space="preserve">IV. Требования к отчетности</w:t>
      </w:r>
    </w:p>
    <w:p>
      <w:pPr>
        <w:pStyle w:val="0"/>
        <w:jc w:val="both"/>
      </w:pPr>
      <w:r>
        <w:rPr>
          <w:sz w:val="24"/>
        </w:rPr>
      </w:r>
    </w:p>
    <w:bookmarkStart w:id="305" w:name="P305"/>
    <w:bookmarkEnd w:id="305"/>
    <w:p>
      <w:pPr>
        <w:pStyle w:val="0"/>
        <w:ind w:firstLine="540"/>
        <w:jc w:val="both"/>
      </w:pPr>
      <w:r>
        <w:rPr>
          <w:sz w:val="24"/>
        </w:rPr>
        <w:t xml:space="preserve">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"Электронный бюджет"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для соглашений о предоставлении гранта:</w:t>
      </w:r>
    </w:p>
    <w:p>
      <w:pPr>
        <w:pStyle w:val="0"/>
        <w:spacing w:before="240"/>
        <w:ind w:firstLine="540"/>
        <w:jc w:val="both"/>
      </w:pPr>
      <w:r>
        <w:rPr>
          <w:sz w:val="24"/>
        </w:rPr>
        <w:t xml:space="preserve">1) отчет о достижении значения результата предоставления гранта, а также характеристик результата;</w:t>
      </w:r>
    </w:p>
    <w:p>
      <w:pPr>
        <w:pStyle w:val="0"/>
        <w:spacing w:before="240"/>
        <w:ind w:firstLine="540"/>
        <w:jc w:val="both"/>
      </w:pPr>
      <w:r>
        <w:rPr>
          <w:sz w:val="24"/>
        </w:rPr>
        <w:t xml:space="preserve">2) отчет об осуществлении расходов, источником финансового обеспечения которых является грант.</w:t>
      </w:r>
    </w:p>
    <w:p>
      <w:pPr>
        <w:pStyle w:val="0"/>
        <w:spacing w:before="240"/>
        <w:ind w:firstLine="540"/>
        <w:jc w:val="both"/>
      </w:pPr>
      <w:r>
        <w:rPr>
          <w:sz w:val="24"/>
        </w:rPr>
        <w:t xml:space="preserve">30. Министерство осуществляет проверку и принятие отчетов, указанных в </w:t>
      </w:r>
      <w:hyperlink w:tooltip="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quot;Электронный бюджет&quot;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 w:anchor="P305" w:history="0">
        <w:r>
          <w:rPr>
            <w:color w:val="0000ff"/>
            <w:sz w:val="24"/>
          </w:rPr>
          <w:t xml:space="preserve">пункте 29</w:t>
        </w:r>
      </w:hyperlink>
      <w:r>
        <w:rPr>
          <w:sz w:val="24"/>
        </w:rPr>
        <w:t xml:space="preserve"> настоящего Порядка, в срок, не превышающий 5 рабочих дней со дня их поступления.</w:t>
      </w:r>
    </w:p>
    <w:p>
      <w:pPr>
        <w:pStyle w:val="0"/>
        <w:spacing w:before="240"/>
        <w:ind w:firstLine="540"/>
        <w:jc w:val="both"/>
      </w:pPr>
      <w:r>
        <w:rPr>
          <w:sz w:val="24"/>
        </w:rPr>
        <w:t xml:space="preserve">В ходе указанной проверки Министерство оценивает полноту и корректность заполнения форм отчетов и достоверность представленных в них данных.</w:t>
      </w:r>
    </w:p>
    <w:p>
      <w:pPr>
        <w:pStyle w:val="0"/>
        <w:spacing w:before="240"/>
        <w:ind w:firstLine="540"/>
        <w:jc w:val="both"/>
      </w:pPr>
      <w:r>
        <w:rPr>
          <w:sz w:val="24"/>
        </w:rPr>
        <w:t xml:space="preserve">В случае наличия замечаний к представленным отчетам Министерство направляет их на доработку с указанием соответствующих замечаний.</w:t>
      </w:r>
    </w:p>
    <w:p>
      <w:pPr>
        <w:pStyle w:val="0"/>
        <w:spacing w:before="240"/>
        <w:ind w:firstLine="540"/>
        <w:jc w:val="both"/>
      </w:pPr>
      <w:r>
        <w:rPr>
          <w:sz w:val="24"/>
        </w:rPr>
        <w:t xml:space="preserve">В течение 3 рабочих дней после дня получения отчетов на доработку заявитель обязан внести в отчеты изменения, устранив замечания, и повторно представить в Министерство в порядке, установленном </w:t>
      </w:r>
      <w:hyperlink w:tooltip="29. Заявитель ежеквартально (начиная с квартала, следующего за кварталом финансового года, в котором был предоставлен грант) не позднее 10 календарных дней, следующих за отчетным кварталом, и не позднее 20 календарного дня, следующего за годом предоставления субсидии, представляет в Министерство посредством системы &quot;Электронный бюджет&quot; (при отсутствии технической возможности - на бумажном носителе) по формам, предусмотренным типовыми формами, установленными Министерством финансов Удмуртской Республики дл..." w:anchor="P305" w:history="0">
        <w:r>
          <w:rPr>
            <w:color w:val="0000ff"/>
            <w:sz w:val="24"/>
          </w:rPr>
          <w:t xml:space="preserve">пунктом 29</w:t>
        </w:r>
      </w:hyperlink>
      <w:r>
        <w:rPr>
          <w:sz w:val="24"/>
        </w:rPr>
        <w:t xml:space="preserve"> настоящего Порядка, исправленные отчеты. В случае пропуска указанного срока отчеты считаются представленными несвоевременно.</w:t>
      </w:r>
    </w:p>
    <w:p>
      <w:pPr>
        <w:pStyle w:val="0"/>
        <w:spacing w:before="240"/>
        <w:ind w:firstLine="540"/>
        <w:jc w:val="both"/>
      </w:pPr>
      <w:r>
        <w:rPr>
          <w:sz w:val="24"/>
        </w:rPr>
        <w:t xml:space="preserve">Датой принятия отчетов является дата подписания их министром (уполномоченным им лицом).</w:t>
      </w:r>
    </w:p>
    <w:p>
      <w:pPr>
        <w:pStyle w:val="0"/>
        <w:jc w:val="both"/>
      </w:pPr>
      <w:r>
        <w:rPr>
          <w:sz w:val="24"/>
        </w:rPr>
        <w:t xml:space="preserve">(п. 30 в ред. </w:t>
      </w:r>
      <w:r>
        <w:rPr>
          <w:sz w:val="24"/>
        </w:rPr>
        <w:t xml:space="preserve">постановления</w:t>
      </w:r>
      <w:r>
        <w:rPr>
          <w:sz w:val="24"/>
        </w:rPr>
        <w:t xml:space="preserve"> Правительства УР от 05.05.2026 N 283)</w:t>
      </w:r>
    </w:p>
    <w:p>
      <w:pPr>
        <w:pStyle w:val="0"/>
        <w:jc w:val="both"/>
      </w:pPr>
      <w:r>
        <w:rPr>
          <w:sz w:val="24"/>
        </w:rPr>
      </w:r>
    </w:p>
    <w:p>
      <w:pPr>
        <w:pStyle w:val="2"/>
        <w:jc w:val="center"/>
        <w:outlineLvl w:val="1"/>
      </w:pPr>
      <w:r>
        <w:rPr>
          <w:sz w:val="24"/>
        </w:rPr>
        <w:t xml:space="preserve">V. Требования об осуществлении контроля (мониторинга)</w:t>
      </w:r>
    </w:p>
    <w:p>
      <w:pPr>
        <w:pStyle w:val="2"/>
        <w:jc w:val="center"/>
      </w:pPr>
      <w:r>
        <w:rPr>
          <w:sz w:val="24"/>
        </w:rPr>
        <w:t xml:space="preserve">за соблюдением условий и порядка предоставления грантов</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31. Соблюдение заявителем, а также лиц, являющихся поставщиками (подрядчиками, исполнителями) по договорам (соглашениям), заключенным заявителем в целях исполнения своих обязательств по соглашению, порядка и условий предоставления гранта, в том числе в части достижения результата его предоставления, подлежит проверке Министерством.</w:t>
      </w:r>
    </w:p>
    <w:p>
      <w:pPr>
        <w:pStyle w:val="0"/>
        <w:spacing w:before="240"/>
        <w:ind w:firstLine="540"/>
        <w:jc w:val="both"/>
      </w:pPr>
      <w:r>
        <w:rPr>
          <w:sz w:val="24"/>
        </w:rPr>
        <w:t xml:space="preserve">Государственный контрольный комитет Удмуртской Республики, Министерство финансов Удмуртской Республики проводят в отношении заявителя, а также лиц, являющихся поставщиками (подрядчиками, исполнителями) по договорам (соглашениям), заключенным заявителем в целях исполнения своих обязательств по соглашению, проверки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ind w:firstLine="540"/>
        <w:jc w:val="both"/>
      </w:pPr>
      <w:r>
        <w:rPr>
          <w:sz w:val="24"/>
        </w:rPr>
        <w:t xml:space="preserve">32. Министерство проводит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в порядке и по формам, которые установлены порядком проведения мониторинга, утвержденного Министерством финансов Российской Федерации.</w:t>
      </w:r>
    </w:p>
    <w:bookmarkStart w:id="322" w:name="P322"/>
    <w:bookmarkEnd w:id="322"/>
    <w:p>
      <w:pPr>
        <w:pStyle w:val="0"/>
        <w:spacing w:before="240"/>
        <w:ind w:firstLine="540"/>
        <w:jc w:val="both"/>
      </w:pPr>
      <w:r>
        <w:rPr>
          <w:sz w:val="24"/>
        </w:rPr>
        <w:t xml:space="preserve">33. Грант подлежит возврату в бюджет Удмуртской Республики в случае:</w:t>
      </w:r>
    </w:p>
    <w:bookmarkStart w:id="323" w:name="P323"/>
    <w:bookmarkEnd w:id="323"/>
    <w:p>
      <w:pPr>
        <w:pStyle w:val="0"/>
        <w:spacing w:before="240"/>
        <w:ind w:firstLine="540"/>
        <w:jc w:val="both"/>
      </w:pPr>
      <w:r>
        <w:rPr>
          <w:sz w:val="24"/>
        </w:rPr>
        <w:t xml:space="preserve">1) нарушения заявителем условий предоставления гранта, установленных </w:t>
      </w:r>
      <w:hyperlink w:tooltip="17. Гранты предоставляются на следующих условиях:" w:anchor="P257" w:history="0">
        <w:r>
          <w:rPr>
            <w:color w:val="0000ff"/>
            <w:sz w:val="24"/>
          </w:rPr>
          <w:t xml:space="preserve">пунктом 17</w:t>
        </w:r>
      </w:hyperlink>
      <w:r>
        <w:rPr>
          <w:sz w:val="24"/>
        </w:rPr>
        <w:t xml:space="preserve"> настоящего Порядка, выявленного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bookmarkStart w:id="324" w:name="P324"/>
    <w:bookmarkEnd w:id="324"/>
    <w:p>
      <w:pPr>
        <w:pStyle w:val="0"/>
        <w:spacing w:before="240"/>
        <w:ind w:firstLine="540"/>
        <w:jc w:val="both"/>
      </w:pPr>
      <w:r>
        <w:rPr>
          <w:sz w:val="24"/>
        </w:rPr>
        <w:t xml:space="preserve">2) недостижения значения результата предоставления гранта, устанавливаемого Министерством в соответствии с </w:t>
      </w:r>
      <w:hyperlink w:tooltip="24. Результатом предоставления гранта является количество реализованных молодежных проектов в сфере государственной национальной политики (единиц)." w:anchor="P294" w:history="0">
        <w:r>
          <w:rPr>
            <w:color w:val="0000ff"/>
            <w:sz w:val="24"/>
          </w:rPr>
          <w:t xml:space="preserve">пунктом 24</w:t>
        </w:r>
      </w:hyperlink>
      <w:r>
        <w:rPr>
          <w:sz w:val="24"/>
        </w:rPr>
        <w:t xml:space="preserve"> настоящего Порядка в соглашении.</w:t>
      </w:r>
    </w:p>
    <w:p>
      <w:pPr>
        <w:pStyle w:val="0"/>
        <w:spacing w:before="240"/>
        <w:ind w:firstLine="540"/>
        <w:jc w:val="both"/>
      </w:pPr>
      <w:r>
        <w:rPr>
          <w:sz w:val="24"/>
        </w:rPr>
        <w:t xml:space="preserve">34. Возврат гранта осуществляется в бюджет Удмуртской Республики:</w:t>
      </w:r>
    </w:p>
    <w:p>
      <w:pPr>
        <w:pStyle w:val="0"/>
        <w:spacing w:before="240"/>
        <w:ind w:firstLine="540"/>
        <w:jc w:val="both"/>
      </w:pPr>
      <w:r>
        <w:rPr>
          <w:sz w:val="24"/>
        </w:rPr>
        <w:t xml:space="preserve">1) в случае установления фактов, предусмотренных </w:t>
      </w:r>
      <w:hyperlink w:tooltip="1) нарушения заявителем условий предоставления гранта, установленных пунктом 17 настоящего Порядка, выявленного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 w:anchor="P323" w:history="0">
        <w:r>
          <w:rPr>
            <w:color w:val="0000ff"/>
            <w:sz w:val="24"/>
          </w:rPr>
          <w:t xml:space="preserve">подпунктом 1 пункта 33</w:t>
        </w:r>
      </w:hyperlink>
      <w:r>
        <w:rPr>
          <w:sz w:val="24"/>
        </w:rPr>
        <w:t xml:space="preserve"> настоящего Порядка, заявитель возвращает сумму полученного гранта в полном объеме;</w:t>
      </w:r>
    </w:p>
    <w:p>
      <w:pPr>
        <w:pStyle w:val="0"/>
        <w:spacing w:before="240"/>
        <w:ind w:firstLine="540"/>
        <w:jc w:val="both"/>
      </w:pPr>
      <w:r>
        <w:rPr>
          <w:sz w:val="24"/>
        </w:rPr>
        <w:t xml:space="preserve">2) в случае, установленном </w:t>
      </w:r>
      <w:hyperlink w:tooltip="2) недостижения значения результата предоставления гранта, устанавливаемого Министерством в соответствии с пунктом 24 настоящего Порядка в соглашении." w:anchor="P324" w:history="0">
        <w:r>
          <w:rPr>
            <w:color w:val="0000ff"/>
            <w:sz w:val="24"/>
          </w:rPr>
          <w:t xml:space="preserve">подпунктом 2 пункта 33</w:t>
        </w:r>
      </w:hyperlink>
      <w:r>
        <w:rPr>
          <w:sz w:val="24"/>
        </w:rPr>
        <w:t xml:space="preserve"> настоящего Порядка, заявитель возвращает в доход бюджета Удмуртской Республики полученный грант в размере, пропорциональном отклонению фактического значения результата предоставления гранта от значения, установленного в соглашении.</w:t>
      </w:r>
    </w:p>
    <w:p>
      <w:pPr>
        <w:pStyle w:val="0"/>
        <w:spacing w:before="240"/>
        <w:ind w:firstLine="540"/>
        <w:jc w:val="both"/>
      </w:pPr>
      <w:r>
        <w:rPr>
          <w:sz w:val="24"/>
        </w:rPr>
        <w:t xml:space="preserve">35. Решение о возврате гранта, предоставляемого заявителю, в случае недостижения результата предоставления гранта Министерством не принимается, если указанное нарушение допущено вследствие возникновения такого обстоятельства непреодолимой силы как установление регионального (межмуниципального) и (или) местного уровня реагирования на чрезвычайную ситуацию, подтвержденное правовым актом соответствующего органа государственной власти Удмуртской Республики и (или) органа местного самоуправления.</w:t>
      </w:r>
    </w:p>
    <w:p>
      <w:pPr>
        <w:pStyle w:val="0"/>
        <w:spacing w:before="240"/>
        <w:ind w:firstLine="540"/>
        <w:jc w:val="both"/>
      </w:pPr>
      <w:r>
        <w:rPr>
          <w:sz w:val="24"/>
        </w:rPr>
        <w:t xml:space="preserve">36. В случае установления фактов, указанных в </w:t>
      </w:r>
      <w:hyperlink w:tooltip="33. Грант подлежит возврату в бюджет Удмуртской Республики в случае:" w:anchor="P322" w:history="0">
        <w:r>
          <w:rPr>
            <w:color w:val="0000ff"/>
            <w:sz w:val="24"/>
          </w:rPr>
          <w:t xml:space="preserve">пункте 33</w:t>
        </w:r>
      </w:hyperlink>
      <w:r>
        <w:rPr>
          <w:sz w:val="24"/>
        </w:rPr>
        <w:t xml:space="preserve"> настоящего Порядка, грант подлежит возврату в бюджет Удмуртской Республики в следующем порядке:</w:t>
      </w:r>
    </w:p>
    <w:p>
      <w:pPr>
        <w:pStyle w:val="0"/>
        <w:spacing w:before="240"/>
        <w:ind w:firstLine="540"/>
        <w:jc w:val="both"/>
      </w:pPr>
      <w:r>
        <w:rPr>
          <w:sz w:val="24"/>
        </w:rPr>
        <w:t xml:space="preserve">1) Министерство направляет заявителю письменное требование о возврате предоставленного гранта с указанием ее размера;</w:t>
      </w:r>
    </w:p>
    <w:bookmarkStart w:id="331" w:name="P331"/>
    <w:bookmarkEnd w:id="331"/>
    <w:p>
      <w:pPr>
        <w:pStyle w:val="0"/>
        <w:spacing w:before="240"/>
        <w:ind w:firstLine="540"/>
        <w:jc w:val="both"/>
      </w:pPr>
      <w:r>
        <w:rPr>
          <w:sz w:val="24"/>
        </w:rPr>
        <w:t xml:space="preserve">2) заявитель в течение 60 рабочих дней со дня получения требований обязан перечислить указанные средства в бюджет Удмуртской Республики;</w:t>
      </w:r>
    </w:p>
    <w:p>
      <w:pPr>
        <w:pStyle w:val="0"/>
        <w:spacing w:before="240"/>
        <w:ind w:firstLine="540"/>
        <w:jc w:val="both"/>
      </w:pPr>
      <w:r>
        <w:rPr>
          <w:sz w:val="24"/>
        </w:rPr>
        <w:t xml:space="preserve">3) в случае заключения заявителем в целях исполнения своих обязательств по заключенному с Министерством соглашению о предоставлении гранта договоров (соглашений) с поставщиками (подрядчиками, исполнителями), оплата предоставляемых по которым товаров (работ, услуг) осуществлялась заявителем с использованием средств предоставленного ему гранта в пределах срока, установленного </w:t>
      </w:r>
      <w:hyperlink w:tooltip="2) заявитель в течение 60 рабочих дней со дня получения требований обязан перечислить указанные средства в бюджет Удмуртской Республики;" w:anchor="P331" w:history="0">
        <w:r>
          <w:rPr>
            <w:color w:val="0000ff"/>
            <w:sz w:val="24"/>
          </w:rPr>
          <w:t xml:space="preserve">подпунктом 2</w:t>
        </w:r>
      </w:hyperlink>
      <w:r>
        <w:rPr>
          <w:sz w:val="24"/>
        </w:rPr>
        <w:t xml:space="preserve"> настоящего пункта, обязан принять меры по возврату поставщиками (подрядчиками, исполнителями) таких средств в бюджет Удмуртской Республики. В случае если названные средства не возвращены в бюджет Удмуртской Республики поставщиками (подрядчиками, исполнителями) по истечении указанного срока, обязанность по возврату таких средств в бюджет Удмуртской Республики возлагается на заявителя;</w:t>
      </w:r>
    </w:p>
    <w:p>
      <w:pPr>
        <w:pStyle w:val="0"/>
        <w:spacing w:before="240"/>
        <w:ind w:firstLine="540"/>
        <w:jc w:val="both"/>
      </w:pPr>
      <w:r>
        <w:rPr>
          <w:sz w:val="24"/>
        </w:rPr>
        <w:t xml:space="preserve">4) в случае неперечисления средств в бюджет Удмуртской Республики в срок, указанный в </w:t>
      </w:r>
      <w:hyperlink w:tooltip="2) заявитель в течение 60 рабочих дней со дня получения требований обязан перечислить указанные средства в бюджет Удмуртской Республики;" w:anchor="P331" w:history="0">
        <w:r>
          <w:rPr>
            <w:color w:val="0000ff"/>
            <w:sz w:val="24"/>
          </w:rPr>
          <w:t xml:space="preserve">подпункте 2</w:t>
        </w:r>
      </w:hyperlink>
      <w:r>
        <w:rPr>
          <w:sz w:val="24"/>
        </w:rPr>
        <w:t xml:space="preserve"> настоящего пункта, Министерство принимает меры для принудительного их взыскания в порядке, установленном законодательством Российской Федерации.</w:t>
      </w:r>
    </w:p>
    <w:p>
      <w:pPr>
        <w:pStyle w:val="0"/>
        <w:spacing w:before="240"/>
        <w:ind w:firstLine="540"/>
        <w:jc w:val="both"/>
      </w:pPr>
      <w:r>
        <w:rPr>
          <w:sz w:val="24"/>
        </w:rPr>
        <w:t xml:space="preserve">37. Контроль за целевым использованием бюджетных средств на предоставление грантов возлагается на Министерство.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bookmarkStart w:id="349" w:name="P349"/>
    <w:bookmarkEnd w:id="349"/>
    <w:p>
      <w:pPr>
        <w:pStyle w:val="2"/>
        <w:jc w:val="center"/>
      </w:pPr>
      <w:r>
        <w:rPr>
          <w:sz w:val="24"/>
        </w:rPr>
        <w:t xml:space="preserve">ПОЛОЖЕНИЕ</w:t>
      </w:r>
    </w:p>
    <w:p>
      <w:pPr>
        <w:pStyle w:val="2"/>
        <w:jc w:val="center"/>
      </w:pPr>
      <w:r>
        <w:rPr>
          <w:sz w:val="24"/>
        </w:rPr>
        <w:t xml:space="preserve">О КОМИССИИ ПО ОТБОРУ ФИЗИЧЕСКИХ ЛИЦ В ЦЕЛЯХ ПРЕДОСТАВЛЕНИЯ</w:t>
      </w:r>
    </w:p>
    <w:p>
      <w:pPr>
        <w:pStyle w:val="2"/>
        <w:jc w:val="center"/>
      </w:pPr>
      <w:r>
        <w:rPr>
          <w:sz w:val="24"/>
        </w:rPr>
        <w:t xml:space="preserve">ГРАНТОВ В ФОРМЕ СУБСИДИЙ НА РЕАЛИЗАЦИЮ МОЛОДЕЖНЫХ ПРОЕКТОВ</w:t>
      </w:r>
    </w:p>
    <w:p>
      <w:pPr>
        <w:pStyle w:val="2"/>
        <w:jc w:val="center"/>
      </w:pPr>
      <w:r>
        <w:rPr>
          <w:sz w:val="24"/>
        </w:rPr>
        <w:t xml:space="preserve">В СФЕРЕ ГОСУДАРСТВЕННОЙ НАЦИОНАЛЬНОЙ ПОЛИТИКИ</w:t>
      </w:r>
    </w:p>
    <w:p>
      <w:pPr>
        <w:pStyle w:val="0"/>
        <w:jc w:val="both"/>
      </w:pPr>
      <w:r>
        <w:rPr>
          <w:sz w:val="24"/>
        </w:rPr>
      </w:r>
    </w:p>
    <w:p>
      <w:pPr>
        <w:pStyle w:val="0"/>
        <w:ind w:firstLine="540"/>
        <w:jc w:val="both"/>
      </w:pPr>
      <w:r>
        <w:rPr>
          <w:sz w:val="24"/>
        </w:rPr>
        <w:t xml:space="preserve">1. Настоящее Положение определяет полномочия и порядок работы Комиссии по отбору физических лиц в целях предоставления грантов в форме субсидий на реализацию молодежных проектов в сфере государственной национальной политики (далее - Комиссия).</w:t>
      </w:r>
    </w:p>
    <w:p>
      <w:pPr>
        <w:pStyle w:val="0"/>
        <w:spacing w:before="240"/>
        <w:ind w:firstLine="540"/>
        <w:jc w:val="both"/>
      </w:pPr>
      <w:r>
        <w:rPr>
          <w:sz w:val="24"/>
        </w:rPr>
        <w:t xml:space="preserve">2. Комиссия в своей деятельности руководствуется </w:t>
      </w:r>
      <w:r>
        <w:rPr>
          <w:sz w:val="24"/>
        </w:rPr>
        <w:t xml:space="preserve">Конституцией</w:t>
      </w:r>
      <w:r>
        <w:rPr>
          <w:sz w:val="24"/>
        </w:rPr>
        <w:t xml:space="preserve"> Российской Федерации, федеральными законами, правовыми актами Президента Российской Федерации, правовыми актами Правительства Российской Федерации, иными правовыми актами Российской Федерации, </w:t>
      </w:r>
      <w:r>
        <w:rPr>
          <w:sz w:val="24"/>
        </w:rPr>
        <w:t xml:space="preserve">Конституцией</w:t>
      </w:r>
      <w:r>
        <w:rPr>
          <w:sz w:val="24"/>
        </w:rPr>
        <w:t xml:space="preserve"> Удмуртской Республики, законами Удмуртской Республики, правовыми актами Главы Удмуртской Республики, правовыми актами Правительства Удмуртской Республики, иными правовыми актами Удмуртской Республики, а также Порядком предоставления грантов в форме субсидий на реализацию молодежных проектов в сфере государственной национальной политики (далее - Порядок) и настоящим Положением.</w:t>
      </w:r>
    </w:p>
    <w:p>
      <w:pPr>
        <w:pStyle w:val="0"/>
        <w:spacing w:before="240"/>
        <w:ind w:firstLine="540"/>
        <w:jc w:val="both"/>
      </w:pPr>
      <w:r>
        <w:rPr>
          <w:sz w:val="24"/>
        </w:rPr>
        <w:t xml:space="preserve">3. К полномочиям Комиссии относится:</w:t>
      </w:r>
    </w:p>
    <w:p>
      <w:pPr>
        <w:pStyle w:val="0"/>
        <w:spacing w:before="240"/>
        <w:ind w:firstLine="540"/>
        <w:jc w:val="both"/>
      </w:pPr>
      <w:r>
        <w:rPr>
          <w:sz w:val="24"/>
        </w:rPr>
        <w:t xml:space="preserve">1) рассмотрение и оценка заявок, представленных физическими лицами для участия в отборе, проводимом Министерством национальной политики Удмуртской Республики в соответствии Порядком (далее - отбор), включая:</w:t>
      </w:r>
    </w:p>
    <w:p>
      <w:pPr>
        <w:pStyle w:val="0"/>
        <w:spacing w:before="240"/>
        <w:ind w:firstLine="540"/>
        <w:jc w:val="both"/>
      </w:pPr>
      <w:r>
        <w:rPr>
          <w:sz w:val="24"/>
        </w:rPr>
        <w:t xml:space="preserve">а) оценку заявок по критериям, установленным Порядком, присвоение им порядковых номеров;</w:t>
      </w:r>
    </w:p>
    <w:p>
      <w:pPr>
        <w:pStyle w:val="0"/>
        <w:spacing w:before="240"/>
        <w:ind w:firstLine="540"/>
        <w:jc w:val="both"/>
      </w:pPr>
      <w:r>
        <w:rPr>
          <w:sz w:val="24"/>
        </w:rPr>
        <w:t xml:space="preserve">б) участие в случаях, предусмотренных Порядком, в формировании протоколов вскрытия заявок, рассмотрения заявок, подведения итогов отбора;</w:t>
      </w:r>
    </w:p>
    <w:p>
      <w:pPr>
        <w:pStyle w:val="0"/>
        <w:spacing w:before="240"/>
        <w:ind w:firstLine="540"/>
        <w:jc w:val="both"/>
      </w:pPr>
      <w:r>
        <w:rPr>
          <w:sz w:val="24"/>
        </w:rPr>
        <w:t xml:space="preserve">в) определение в соответствии с Порядком победителей отбора и расчетного размера предоставляемых им грантов;</w:t>
      </w:r>
    </w:p>
    <w:p>
      <w:pPr>
        <w:pStyle w:val="0"/>
        <w:spacing w:before="240"/>
        <w:ind w:firstLine="540"/>
        <w:jc w:val="both"/>
      </w:pPr>
      <w:r>
        <w:rPr>
          <w:sz w:val="24"/>
        </w:rPr>
        <w:t xml:space="preserve">2) принятие в случаях, установленных Порядком, решений:</w:t>
      </w:r>
    </w:p>
    <w:p>
      <w:pPr>
        <w:pStyle w:val="0"/>
        <w:spacing w:before="240"/>
        <w:ind w:firstLine="540"/>
        <w:jc w:val="both"/>
      </w:pPr>
      <w:r>
        <w:rPr>
          <w:sz w:val="24"/>
        </w:rPr>
        <w:t xml:space="preserve">а) о соответствии заявок требованиям, установленным Порядком;</w:t>
      </w:r>
    </w:p>
    <w:p>
      <w:pPr>
        <w:pStyle w:val="0"/>
        <w:spacing w:before="240"/>
        <w:ind w:firstLine="540"/>
        <w:jc w:val="both"/>
      </w:pPr>
      <w:r>
        <w:rPr>
          <w:sz w:val="24"/>
        </w:rPr>
        <w:t xml:space="preserve">б) об отклонении заявок на стадиях рассмотрения и оценки заявок;</w:t>
      </w:r>
    </w:p>
    <w:p>
      <w:pPr>
        <w:pStyle w:val="0"/>
        <w:spacing w:before="240"/>
        <w:ind w:firstLine="540"/>
        <w:jc w:val="both"/>
      </w:pPr>
      <w:r>
        <w:rPr>
          <w:sz w:val="24"/>
        </w:rPr>
        <w:t xml:space="preserve">в) о возврате заявок на доработку;</w:t>
      </w:r>
    </w:p>
    <w:p>
      <w:pPr>
        <w:pStyle w:val="0"/>
        <w:spacing w:before="240"/>
        <w:ind w:firstLine="540"/>
        <w:jc w:val="both"/>
      </w:pPr>
      <w:r>
        <w:rPr>
          <w:sz w:val="24"/>
        </w:rPr>
        <w:t xml:space="preserve">г) о признании отбора несостоявшимся.</w:t>
      </w:r>
    </w:p>
    <w:p>
      <w:pPr>
        <w:pStyle w:val="0"/>
        <w:spacing w:before="240"/>
        <w:ind w:firstLine="540"/>
        <w:jc w:val="both"/>
      </w:pPr>
      <w:r>
        <w:rPr>
          <w:sz w:val="24"/>
        </w:rPr>
        <w:t xml:space="preserve">4. Члены Комиссии в период времени, установленный Порядком, получают доступ к представленным заявкам для их рассмотрения и оценки в государственной интегрированной информационной системе управления общественными финансами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ind w:firstLine="540"/>
        <w:jc w:val="both"/>
      </w:pPr>
      <w:r>
        <w:rPr>
          <w:sz w:val="24"/>
        </w:rPr>
        <w:t xml:space="preserve">В случае отсутствия технической возможности использования системы "Электронный бюджет" взаимодействие Министерства с заявителями при проведении отбора, рассмотрение и оценка заявок, а также иные действия совершаются членами Комиссии с учетом особенностей, установленных Порядком для указанного случая.</w:t>
      </w:r>
    </w:p>
    <w:p>
      <w:pPr>
        <w:pStyle w:val="0"/>
        <w:spacing w:before="240"/>
        <w:ind w:firstLine="540"/>
        <w:jc w:val="both"/>
      </w:pPr>
      <w:r>
        <w:rPr>
          <w:sz w:val="24"/>
        </w:rPr>
        <w:t xml:space="preserve">5. Члены Комиссии, в случае наличия у них признаков аффилированности с физическими лицами, участвующими в отборе, не допускаются до рассмотрения и (или) оценки заявок, поданных такими участниками, и (или) отстраняются от их рассмотрения и оценки.</w:t>
      </w:r>
    </w:p>
    <w:p>
      <w:pPr>
        <w:pStyle w:val="0"/>
        <w:spacing w:before="240"/>
        <w:ind w:firstLine="540"/>
        <w:jc w:val="both"/>
      </w:pPr>
      <w:r>
        <w:rPr>
          <w:sz w:val="24"/>
        </w:rPr>
        <w:t xml:space="preserve">6. Комиссия состоит из председателя Комиссии, заместителя председателя Комиссии, секретаря и других членов Комиссии.</w:t>
      </w:r>
    </w:p>
    <w:p>
      <w:pPr>
        <w:pStyle w:val="0"/>
        <w:spacing w:before="240"/>
        <w:ind w:firstLine="540"/>
        <w:jc w:val="both"/>
      </w:pPr>
      <w:r>
        <w:rPr>
          <w:sz w:val="24"/>
        </w:rPr>
        <w:t xml:space="preserve">7. Руководство деятельностью Комиссии осуществляет председатель, а в случае его отсутствия - заместитель председателя.</w:t>
      </w:r>
    </w:p>
    <w:p>
      <w:pPr>
        <w:pStyle w:val="0"/>
        <w:spacing w:before="240"/>
        <w:ind w:firstLine="540"/>
        <w:jc w:val="both"/>
      </w:pPr>
      <w:r>
        <w:rPr>
          <w:sz w:val="24"/>
        </w:rPr>
        <w:t xml:space="preserve">Председатель Комиссии организует работу Комиссии, распределяет обязанности между заместителем, секретарем и другими членами Комиссии, а также подписывает формируемые в процессе проведения отбора протоколы вскрытия заявок, рассмотрения заявок, подведения итогов отбора.</w:t>
      </w:r>
    </w:p>
    <w:p>
      <w:pPr>
        <w:pStyle w:val="0"/>
        <w:spacing w:before="240"/>
        <w:ind w:firstLine="540"/>
        <w:jc w:val="both"/>
      </w:pPr>
      <w:r>
        <w:rPr>
          <w:sz w:val="24"/>
        </w:rPr>
        <w:t xml:space="preserve">Секретарь Комиссии оповещает членов Комиссии о времени, месте и дате проведения заседаний, подготавливает проекты протоколов вскрытия заявок, рассмотрения заявок, подведения итогов отбора, а также ведет протоколы заседаний Комиссии.</w:t>
      </w:r>
    </w:p>
    <w:p>
      <w:pPr>
        <w:pStyle w:val="0"/>
        <w:spacing w:before="240"/>
        <w:ind w:firstLine="540"/>
        <w:jc w:val="both"/>
      </w:pPr>
      <w:r>
        <w:rPr>
          <w:sz w:val="24"/>
        </w:rPr>
        <w:t xml:space="preserve">8. О времени, месте и дате проведения предстоящего заседания члены Комиссии уведомляются секретарем Комиссии не позднее чем за 2 дня до даты его проведения.</w:t>
      </w:r>
    </w:p>
    <w:p>
      <w:pPr>
        <w:pStyle w:val="0"/>
        <w:spacing w:before="240"/>
        <w:ind w:firstLine="540"/>
        <w:jc w:val="both"/>
      </w:pPr>
      <w:r>
        <w:rPr>
          <w:sz w:val="24"/>
        </w:rPr>
        <w:t xml:space="preserve">9. Заседания Комиссии проводятся по мере необходимости и считаются правомочными, если на них присутствует более половины ее членов.</w:t>
      </w:r>
    </w:p>
    <w:p>
      <w:pPr>
        <w:pStyle w:val="0"/>
        <w:spacing w:before="240"/>
        <w:ind w:firstLine="540"/>
        <w:jc w:val="both"/>
      </w:pPr>
      <w:r>
        <w:rPr>
          <w:sz w:val="24"/>
        </w:rPr>
        <w:t xml:space="preserve">10. Решения Комиссии принимаются большинством голосов ее членов, принявших участие в заседании, путем открытого голосования, за исключением решений по вопросам, связанным с оценкой заявок по критериям отбора, которые принимаются Комиссией с учетом требований, установленных Порядком.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p>
      <w:pPr>
        <w:pStyle w:val="1"/>
        <w:jc w:val="both"/>
      </w:pPr>
      <w:r>
        <w:rPr>
          <w:sz w:val="20"/>
        </w:rPr>
        <w:t xml:space="preserve">                                         Министерство национальной политики</w:t>
      </w:r>
    </w:p>
    <w:p>
      <w:pPr>
        <w:pStyle w:val="1"/>
        <w:jc w:val="both"/>
      </w:pPr>
      <w:r>
        <w:rPr>
          <w:sz w:val="20"/>
        </w:rPr>
        <w:t xml:space="preserve">                                               Удмуртской Республики</w:t>
      </w:r>
    </w:p>
    <w:p>
      <w:pPr>
        <w:pStyle w:val="1"/>
        <w:jc w:val="both"/>
      </w:pPr>
      <w:r>
        <w:rPr>
          <w:sz w:val="20"/>
        </w:rPr>
        <w:t xml:space="preserve">                                         от _______________________________</w:t>
      </w:r>
    </w:p>
    <w:p>
      <w:pPr>
        <w:pStyle w:val="1"/>
        <w:jc w:val="both"/>
      </w:pPr>
      <w:r>
        <w:rPr>
          <w:sz w:val="20"/>
        </w:rPr>
        <w:t xml:space="preserve">                                               (фамилия, имя и отчество</w:t>
      </w:r>
    </w:p>
    <w:p>
      <w:pPr>
        <w:pStyle w:val="1"/>
        <w:jc w:val="both"/>
      </w:pPr>
      <w:r>
        <w:rPr>
          <w:sz w:val="20"/>
        </w:rPr>
        <w:t xml:space="preserve">                                                       заявителя)</w:t>
      </w:r>
    </w:p>
    <w:p>
      <w:pPr>
        <w:pStyle w:val="1"/>
        <w:jc w:val="both"/>
      </w:pPr>
      <w:r>
        <w:rPr>
          <w:sz w:val="20"/>
        </w:rPr>
        <w:t xml:space="preserve">                                         __________________________________</w:t>
      </w:r>
    </w:p>
    <w:p>
      <w:pPr>
        <w:pStyle w:val="1"/>
        <w:jc w:val="both"/>
      </w:pPr>
      <w:r>
        <w:rPr>
          <w:sz w:val="20"/>
        </w:rPr>
        <w:t xml:space="preserve">                                            (адрес регистрации по месту</w:t>
      </w:r>
    </w:p>
    <w:p>
      <w:pPr>
        <w:pStyle w:val="1"/>
        <w:jc w:val="both"/>
      </w:pPr>
      <w:r>
        <w:rPr>
          <w:sz w:val="20"/>
        </w:rPr>
        <w:t xml:space="preserve">                                                     жительства)</w:t>
      </w:r>
    </w:p>
    <w:p>
      <w:pPr>
        <w:pStyle w:val="1"/>
        <w:jc w:val="both"/>
      </w:pPr>
      <w:r>
        <w:rPr>
          <w:sz w:val="20"/>
        </w:rPr>
        <w:t xml:space="preserve">                                         __________________________________</w:t>
      </w:r>
    </w:p>
    <w:p>
      <w:pPr>
        <w:pStyle w:val="1"/>
        <w:jc w:val="both"/>
      </w:pPr>
      <w:r>
        <w:rPr>
          <w:sz w:val="20"/>
        </w:rPr>
        <w:t xml:space="preserve">                                              (серия и номер паспорта)</w:t>
      </w:r>
    </w:p>
    <w:p>
      <w:pPr>
        <w:pStyle w:val="1"/>
        <w:jc w:val="both"/>
      </w:pPr>
      <w:r>
        <w:rPr>
          <w:sz w:val="20"/>
        </w:rPr>
        <w:t xml:space="preserve">                                         __________________________________</w:t>
      </w:r>
    </w:p>
    <w:p>
      <w:pPr>
        <w:pStyle w:val="1"/>
        <w:jc w:val="both"/>
      </w:pPr>
      <w:r>
        <w:rPr>
          <w:sz w:val="20"/>
        </w:rPr>
        <w:t xml:space="preserve">                                                       (ИНН)</w:t>
      </w:r>
    </w:p>
    <w:p>
      <w:pPr>
        <w:pStyle w:val="1"/>
        <w:jc w:val="both"/>
      </w:pPr>
      <w:r>
        <w:rPr>
          <w:sz w:val="20"/>
        </w:rPr>
        <w:t xml:space="preserve">                                         __________________________________</w:t>
      </w:r>
    </w:p>
    <w:p>
      <w:pPr>
        <w:pStyle w:val="1"/>
        <w:jc w:val="both"/>
      </w:pPr>
      <w:r>
        <w:rPr>
          <w:sz w:val="20"/>
        </w:rPr>
        <w:t xml:space="preserve">                                            (номер телефона заявителя)</w:t>
      </w:r>
    </w:p>
    <w:p>
      <w:pPr>
        <w:pStyle w:val="1"/>
        <w:jc w:val="both"/>
      </w:pPr>
      <w:r>
        <w:rPr>
          <w:sz w:val="20"/>
        </w:rPr>
        <w:t xml:space="preserve">                                         __________________________________</w:t>
      </w:r>
    </w:p>
    <w:p>
      <w:pPr>
        <w:pStyle w:val="1"/>
        <w:jc w:val="both"/>
      </w:pPr>
      <w:r>
        <w:rPr>
          <w:sz w:val="20"/>
        </w:rPr>
        <w:t xml:space="preserve">                                           (электронная почта заявителя)</w:t>
      </w:r>
    </w:p>
    <w:p>
      <w:pPr>
        <w:pStyle w:val="1"/>
        <w:jc w:val="both"/>
      </w:pPr>
      <w:r>
        <w:rPr>
          <w:sz w:val="20"/>
        </w:rPr>
      </w:r>
    </w:p>
    <w:bookmarkStart w:id="407" w:name="P407"/>
    <w:bookmarkEnd w:id="407"/>
    <w:p>
      <w:pPr>
        <w:pStyle w:val="1"/>
        <w:jc w:val="both"/>
      </w:pPr>
      <w:r>
        <w:rPr>
          <w:sz w:val="20"/>
        </w:rPr>
        <w:t xml:space="preserve">                                  ЗАЯВКА</w:t>
      </w:r>
    </w:p>
    <w:p>
      <w:pPr>
        <w:pStyle w:val="1"/>
        <w:jc w:val="both"/>
      </w:pPr>
      <w:r>
        <w:rPr>
          <w:sz w:val="20"/>
        </w:rPr>
        <w:t xml:space="preserve">          на участие в конкурсе на право получения гранта в форме</w:t>
      </w:r>
    </w:p>
    <w:p>
      <w:pPr>
        <w:pStyle w:val="1"/>
        <w:jc w:val="both"/>
      </w:pPr>
      <w:r>
        <w:rPr>
          <w:sz w:val="20"/>
        </w:rPr>
        <w:t xml:space="preserve">            субсидии на реализацию молодежных проектов в сфере</w:t>
      </w:r>
    </w:p>
    <w:p>
      <w:pPr>
        <w:pStyle w:val="1"/>
        <w:jc w:val="both"/>
      </w:pPr>
      <w:r>
        <w:rPr>
          <w:sz w:val="20"/>
        </w:rPr>
        <w:t xml:space="preserve">                   государственной национальной политики</w:t>
      </w:r>
    </w:p>
    <w:p>
      <w:pPr>
        <w:pStyle w:val="1"/>
        <w:jc w:val="both"/>
      </w:pPr>
      <w:r>
        <w:rPr>
          <w:sz w:val="20"/>
        </w:rPr>
      </w:r>
    </w:p>
    <w:p>
      <w:pPr>
        <w:pStyle w:val="1"/>
        <w:jc w:val="both"/>
      </w:pPr>
      <w:r>
        <w:rPr>
          <w:sz w:val="20"/>
        </w:rPr>
        <w:t xml:space="preserve">    Прошу  рассмотреть  мою  заявку  на  получение  гранта в соответствии с</w:t>
      </w:r>
    </w:p>
    <w:p>
      <w:pPr>
        <w:pStyle w:val="1"/>
        <w:jc w:val="both"/>
      </w:pPr>
      <w:r>
        <w:rPr>
          <w:sz w:val="20"/>
        </w:rPr>
        <w:t xml:space="preserve">Порядком  предоставления  грантов в форме субсидий на реализацию молодежных</w:t>
      </w:r>
    </w:p>
    <w:p>
      <w:pPr>
        <w:pStyle w:val="1"/>
        <w:jc w:val="both"/>
      </w:pPr>
      <w:r>
        <w:rPr>
          <w:sz w:val="20"/>
        </w:rPr>
        <w:t xml:space="preserve">проектов  в  сфере государственной национальной политики (далее - Порядок).</w:t>
      </w:r>
    </w:p>
    <w:p>
      <w:pPr>
        <w:pStyle w:val="1"/>
        <w:jc w:val="both"/>
      </w:pPr>
      <w:r>
        <w:rPr>
          <w:sz w:val="20"/>
        </w:rPr>
        <w:t xml:space="preserve">    Подписанием настоящей заявки подтверждаю, что:</w:t>
      </w:r>
    </w:p>
    <w:p>
      <w:pPr>
        <w:pStyle w:val="1"/>
        <w:jc w:val="both"/>
      </w:pPr>
      <w:r>
        <w:rPr>
          <w:sz w:val="20"/>
        </w:rPr>
        <w:t xml:space="preserve">    настоящая   заявка   и   прилагаемые   к  ней  документы  соответствуют</w:t>
      </w:r>
    </w:p>
    <w:p>
      <w:pPr>
        <w:pStyle w:val="1"/>
        <w:jc w:val="both"/>
      </w:pPr>
      <w:r>
        <w:rPr>
          <w:sz w:val="20"/>
        </w:rPr>
        <w:t xml:space="preserve">требованиям, установленным </w:t>
      </w:r>
      <w:hyperlink w:tooltip="13. Требования, предъявляемые к форме и содержанию заявок, подаваемых заявителями:" w:anchor="P104" w:history="0">
        <w:r>
          <w:rPr>
            <w:color w:val="0000ff"/>
            <w:sz w:val="20"/>
          </w:rPr>
          <w:t xml:space="preserve">пунктом 13</w:t>
        </w:r>
      </w:hyperlink>
      <w:r>
        <w:rPr>
          <w:sz w:val="20"/>
        </w:rPr>
        <w:t xml:space="preserve"> Порядка;</w:t>
      </w:r>
    </w:p>
    <w:p>
      <w:pPr>
        <w:pStyle w:val="1"/>
        <w:jc w:val="both"/>
      </w:pPr>
      <w:r>
        <w:rPr>
          <w:sz w:val="20"/>
        </w:rPr>
        <w:t xml:space="preserve">    я  соответствую требованиям, установленным </w:t>
      </w:r>
      <w:hyperlink w:tooltip="12. Заявитель по состоянию на дату рассмотрения заявки и дату заключения соглашения о предоставлении гранта должен соответствовать следующим требованиям:" w:anchor="P95" w:history="0">
        <w:r>
          <w:rPr>
            <w:color w:val="0000ff"/>
            <w:sz w:val="20"/>
          </w:rPr>
          <w:t xml:space="preserve">пунктом 12</w:t>
        </w:r>
      </w:hyperlink>
      <w:r>
        <w:rPr>
          <w:sz w:val="20"/>
        </w:rPr>
        <w:t xml:space="preserve"> Порядка;</w:t>
      </w:r>
    </w:p>
    <w:p>
      <w:pPr>
        <w:pStyle w:val="1"/>
        <w:jc w:val="both"/>
      </w:pPr>
      <w:r>
        <w:rPr>
          <w:sz w:val="20"/>
        </w:rPr>
        <w:t xml:space="preserve">    согласен  с условиями, установленными </w:t>
      </w:r>
      <w:hyperlink w:tooltip="17. Гранты предоставляются на следующих условиях:" w:anchor="P257" w:history="0">
        <w:r>
          <w:rPr>
            <w:color w:val="0000ff"/>
            <w:sz w:val="20"/>
          </w:rPr>
          <w:t xml:space="preserve">пунктом 17</w:t>
        </w:r>
      </w:hyperlink>
      <w:r>
        <w:rPr>
          <w:sz w:val="20"/>
        </w:rPr>
        <w:t xml:space="preserve"> Порядка, и обязуюсь их</w:t>
      </w:r>
    </w:p>
    <w:p>
      <w:pPr>
        <w:pStyle w:val="1"/>
        <w:jc w:val="both"/>
      </w:pPr>
      <w:r>
        <w:rPr>
          <w:sz w:val="20"/>
        </w:rPr>
        <w:t xml:space="preserve">выполнять;</w:t>
      </w:r>
    </w:p>
    <w:p>
      <w:pPr>
        <w:pStyle w:val="1"/>
        <w:jc w:val="both"/>
      </w:pPr>
      <w:r>
        <w:rPr>
          <w:sz w:val="20"/>
        </w:rPr>
        <w:t xml:space="preserve">    обязуюсь достигнуть следующие значения результата предоставления гранта</w:t>
      </w:r>
    </w:p>
    <w:p>
      <w:pPr>
        <w:pStyle w:val="1"/>
        <w:jc w:val="both"/>
      </w:pPr>
      <w:r>
        <w:rPr>
          <w:sz w:val="20"/>
        </w:rPr>
        <w:t xml:space="preserve">и его характеристик, указанных в представленном молодежном проекте к заявке</w:t>
      </w:r>
    </w:p>
    <w:p>
      <w:pPr>
        <w:pStyle w:val="1"/>
        <w:jc w:val="both"/>
      </w:pPr>
      <w:r>
        <w:rPr>
          <w:sz w:val="20"/>
        </w:rPr>
        <w:t xml:space="preserve">на  участие  в  конкурсе  на  право  получения  гранта  в форме субсидии на</w:t>
      </w:r>
    </w:p>
    <w:p>
      <w:pPr>
        <w:pStyle w:val="1"/>
        <w:jc w:val="both"/>
      </w:pPr>
      <w:r>
        <w:rPr>
          <w:sz w:val="20"/>
        </w:rPr>
        <w:t xml:space="preserve">реализацию   молодежных   проектов  в  сфере  государственной  национальной</w:t>
      </w:r>
    </w:p>
    <w:p>
      <w:pPr>
        <w:pStyle w:val="1"/>
        <w:jc w:val="both"/>
      </w:pPr>
      <w:r>
        <w:rPr>
          <w:sz w:val="20"/>
        </w:rPr>
        <w:t xml:space="preserve">политики;</w:t>
      </w:r>
    </w:p>
    <w:p>
      <w:pPr>
        <w:pStyle w:val="1"/>
        <w:jc w:val="both"/>
      </w:pPr>
      <w:r>
        <w:rPr>
          <w:sz w:val="20"/>
        </w:rPr>
        <w:t xml:space="preserve">    выражаю согласие на публикацию (размещение) на едином портале бюджетной</w:t>
      </w:r>
    </w:p>
    <w:p>
      <w:pPr>
        <w:pStyle w:val="1"/>
        <w:jc w:val="both"/>
      </w:pPr>
      <w:r>
        <w:rPr>
          <w:sz w:val="20"/>
        </w:rPr>
        <w:t xml:space="preserve">системы  Российской  Федерации  в  информационно-телекоммуникационной  сети</w:t>
      </w:r>
    </w:p>
    <w:p>
      <w:pPr>
        <w:pStyle w:val="1"/>
        <w:jc w:val="both"/>
      </w:pPr>
      <w:r>
        <w:rPr>
          <w:sz w:val="20"/>
        </w:rPr>
        <w:t xml:space="preserve">"Интернет", а также на официальном сайте Министерства национальной политики</w:t>
      </w:r>
    </w:p>
    <w:p>
      <w:pPr>
        <w:pStyle w:val="1"/>
        <w:jc w:val="both"/>
      </w:pPr>
      <w:r>
        <w:rPr>
          <w:sz w:val="20"/>
        </w:rPr>
        <w:t xml:space="preserve">Удмуртской  Республики в информационно-телекоммуникационной сети "Интернет"</w:t>
      </w:r>
    </w:p>
    <w:p>
      <w:pPr>
        <w:pStyle w:val="1"/>
        <w:jc w:val="both"/>
      </w:pPr>
      <w:r>
        <w:rPr>
          <w:sz w:val="20"/>
        </w:rPr>
        <w:t xml:space="preserve">информации  обо  мне,  о  настоящей  заявке,  иной  информации, связанной с</w:t>
      </w:r>
    </w:p>
    <w:p>
      <w:pPr>
        <w:pStyle w:val="1"/>
        <w:jc w:val="both"/>
      </w:pPr>
      <w:r>
        <w:rPr>
          <w:sz w:val="20"/>
        </w:rPr>
        <w:t xml:space="preserve">отбором  получателей  грантов  в  форме  субсидий  на реализацию молодежных</w:t>
      </w:r>
    </w:p>
    <w:p>
      <w:pPr>
        <w:pStyle w:val="1"/>
        <w:jc w:val="both"/>
      </w:pPr>
      <w:r>
        <w:rPr>
          <w:sz w:val="20"/>
        </w:rPr>
        <w:t xml:space="preserve">проектов  в  сфере  государственной национальной политики и предоставлением</w:t>
      </w:r>
    </w:p>
    <w:p>
      <w:pPr>
        <w:pStyle w:val="1"/>
        <w:jc w:val="both"/>
      </w:pPr>
      <w:r>
        <w:rPr>
          <w:sz w:val="20"/>
        </w:rPr>
        <w:t xml:space="preserve">мне гранта в соответствии с Порядком.</w:t>
      </w:r>
    </w:p>
    <w:p>
      <w:pPr>
        <w:pStyle w:val="1"/>
        <w:jc w:val="both"/>
      </w:pPr>
      <w:r>
        <w:rPr>
          <w:sz w:val="20"/>
        </w:rPr>
        <w:t xml:space="preserve">    Молодежный проект к рассмотрению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(название проекта)</w:t>
      </w:r>
    </w:p>
    <w:p>
      <w:pPr>
        <w:pStyle w:val="1"/>
        <w:jc w:val="both"/>
      </w:pPr>
      <w:r>
        <w:rPr>
          <w:sz w:val="20"/>
        </w:rPr>
        <w:t xml:space="preserve">    Запрашиваемая сумма гранта ________________ (руб.).</w:t>
      </w:r>
    </w:p>
    <w:p>
      <w:pPr>
        <w:pStyle w:val="1"/>
        <w:jc w:val="both"/>
      </w:pPr>
      <w:r>
        <w:rPr>
          <w:sz w:val="20"/>
        </w:rPr>
        <w:t xml:space="preserve">    Приложения </w:t>
      </w:r>
      <w:hyperlink w:tooltip="    &lt;*&gt;  Перечень приложений не заполняется в случае представления заявки в" w:anchor="P447" w:history="0">
        <w:r>
          <w:rPr>
            <w:color w:val="0000ff"/>
            <w:sz w:val="20"/>
          </w:rPr>
          <w:t xml:space="preserve">&lt;*&gt;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 ______________________________</w:t>
      </w:r>
    </w:p>
    <w:p>
      <w:pPr>
        <w:pStyle w:val="1"/>
        <w:jc w:val="both"/>
      </w:pPr>
      <w:r>
        <w:rPr>
          <w:sz w:val="20"/>
        </w:rPr>
        <w:t xml:space="preserve">(подпись заявителя) (фамилия, инициалы заявителя)</w:t>
      </w:r>
    </w:p>
    <w:p>
      <w:pPr>
        <w:pStyle w:val="1"/>
        <w:jc w:val="both"/>
      </w:pPr>
      <w:r>
        <w:rPr>
          <w:sz w:val="20"/>
        </w:rPr>
      </w:r>
    </w:p>
    <w:p>
      <w:pPr>
        <w:pStyle w:val="1"/>
        <w:jc w:val="both"/>
      </w:pPr>
      <w:r>
        <w:rPr>
          <w:sz w:val="20"/>
        </w:rPr>
        <w:t xml:space="preserve">    --------------------------------</w:t>
      </w:r>
    </w:p>
    <w:bookmarkStart w:id="447" w:name="P447"/>
    <w:bookmarkEnd w:id="447"/>
    <w:p>
      <w:pPr>
        <w:pStyle w:val="1"/>
        <w:jc w:val="both"/>
      </w:pPr>
      <w:r>
        <w:rPr>
          <w:sz w:val="20"/>
        </w:rPr>
        <w:t xml:space="preserve">    &lt;*&gt;  Перечень приложений не заполняется в случае представления заявки в</w:t>
      </w:r>
    </w:p>
    <w:p>
      <w:pPr>
        <w:pStyle w:val="1"/>
        <w:jc w:val="both"/>
      </w:pPr>
      <w:r>
        <w:rPr>
          <w:sz w:val="20"/>
        </w:rPr>
        <w:t xml:space="preserve">государственной    интегрированной    информационной   системе   управления</w:t>
      </w:r>
    </w:p>
    <w:p>
      <w:pPr>
        <w:pStyle w:val="1"/>
        <w:jc w:val="both"/>
      </w:pPr>
      <w:r>
        <w:rPr>
          <w:sz w:val="20"/>
        </w:rPr>
        <w:t xml:space="preserve">общественными финансами "Электронный бюджет".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в форме субсидий</w:t>
      </w:r>
    </w:p>
    <w:p>
      <w:pPr>
        <w:pStyle w:val="0"/>
        <w:jc w:val="right"/>
      </w:pPr>
      <w:r>
        <w:rPr>
          <w:sz w:val="24"/>
        </w:rPr>
        <w:t xml:space="preserve">на реализацию молодежных</w:t>
      </w:r>
    </w:p>
    <w:p>
      <w:pPr>
        <w:pStyle w:val="0"/>
        <w:jc w:val="right"/>
      </w:pPr>
      <w:r>
        <w:rPr>
          <w:sz w:val="24"/>
        </w:rPr>
        <w:t xml:space="preserve">проектов в сфере</w:t>
      </w:r>
    </w:p>
    <w:p>
      <w:pPr>
        <w:pStyle w:val="0"/>
        <w:jc w:val="right"/>
      </w:pPr>
      <w:r>
        <w:rPr>
          <w:sz w:val="24"/>
        </w:rPr>
        <w:t xml:space="preserve">государственной национальной</w:t>
      </w:r>
    </w:p>
    <w:p>
      <w:pPr>
        <w:pStyle w:val="0"/>
        <w:jc w:val="right"/>
      </w:pPr>
      <w:r>
        <w:rPr>
          <w:sz w:val="24"/>
        </w:rPr>
        <w:t xml:space="preserve">политики</w:t>
      </w:r>
    </w:p>
    <w:p>
      <w:pPr>
        <w:pStyle w:val="0"/>
        <w:jc w:val="both"/>
      </w:pPr>
      <w:r>
        <w:rPr>
          <w:sz w:val="24"/>
        </w:rPr>
      </w:r>
    </w:p>
    <w:bookmarkStart w:id="464" w:name="P464"/>
    <w:bookmarkEnd w:id="464"/>
    <w:p>
      <w:pPr>
        <w:pStyle w:val="0"/>
        <w:jc w:val="center"/>
      </w:pPr>
      <w:r>
        <w:rPr>
          <w:sz w:val="24"/>
        </w:rPr>
        <w:t xml:space="preserve">МОЛОДЕЖНЫЙ ПРОЕКТ</w:t>
      </w:r>
    </w:p>
    <w:p>
      <w:pPr>
        <w:pStyle w:val="0"/>
        <w:jc w:val="center"/>
      </w:pPr>
      <w:r>
        <w:rPr>
          <w:sz w:val="24"/>
        </w:rPr>
        <w:t xml:space="preserve">к заявке на участие в конкурсе на право получения гранта</w:t>
      </w:r>
    </w:p>
    <w:p>
      <w:pPr>
        <w:pStyle w:val="0"/>
        <w:jc w:val="center"/>
      </w:pPr>
      <w:r>
        <w:rPr>
          <w:sz w:val="24"/>
        </w:rPr>
        <w:t xml:space="preserve">в форме субсидии на реализацию молодежных проектов в сфере</w:t>
      </w:r>
    </w:p>
    <w:p>
      <w:pPr>
        <w:pStyle w:val="0"/>
        <w:jc w:val="center"/>
      </w:pPr>
      <w:r>
        <w:rPr>
          <w:sz w:val="24"/>
        </w:rPr>
        <w:t xml:space="preserve">государственной национальной политики</w:t>
      </w:r>
    </w:p>
    <w:p>
      <w:pPr>
        <w:pStyle w:val="0"/>
        <w:jc w:val="both"/>
      </w:pPr>
      <w:r>
        <w:rPr>
          <w:sz w:val="24"/>
        </w:rPr>
      </w:r>
    </w:p>
    <w:p>
      <w:pPr>
        <w:pStyle w:val="0"/>
        <w:jc w:val="center"/>
        <w:outlineLvl w:val="2"/>
      </w:pPr>
      <w:r>
        <w:rPr>
          <w:sz w:val="24"/>
        </w:rPr>
        <w:t xml:space="preserve">1. Информация о заявителе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989"/>
        <w:gridCol w:w="4082"/>
      </w:tblGrid>
      <w:tr>
        <w:tc>
          <w:tcPr>
            <w:tcW w:w="4989" w:type="dxa"/>
          </w:tcPr>
          <w:p>
            <w:pPr>
              <w:pStyle w:val="0"/>
            </w:pPr>
            <w:r>
              <w:rPr>
                <w:sz w:val="24"/>
              </w:rPr>
              <w:t xml:space="preserve">Фамилия, имя и отчество заявителя/руководителя проекта (полностью)</w:t>
            </w:r>
          </w:p>
        </w:tc>
        <w:tc>
          <w:tcPr>
            <w:tcW w:w="4082" w:type="dxa"/>
          </w:tcPr>
          <w:p>
            <w:pPr>
              <w:pStyle w:val="0"/>
            </w:pPr>
            <w:r>
              <w:rPr>
                <w:sz w:val="24"/>
              </w:rPr>
            </w:r>
          </w:p>
        </w:tc>
      </w:tr>
      <w:tr>
        <w:tc>
          <w:tcPr>
            <w:tcW w:w="4989" w:type="dxa"/>
          </w:tcPr>
          <w:p>
            <w:pPr>
              <w:pStyle w:val="0"/>
            </w:pPr>
            <w:r>
              <w:rPr>
                <w:sz w:val="24"/>
              </w:rPr>
              <w:t xml:space="preserve">Дата рождения заявителя/руководителя молодежного проекта в сфере государственной национальной политики (далее - проект)</w:t>
            </w:r>
          </w:p>
        </w:tc>
        <w:tc>
          <w:tcPr>
            <w:tcW w:w="4082" w:type="dxa"/>
          </w:tcPr>
          <w:p>
            <w:pPr>
              <w:pStyle w:val="0"/>
            </w:pPr>
            <w:r>
              <w:rPr>
                <w:sz w:val="24"/>
              </w:rPr>
            </w:r>
          </w:p>
        </w:tc>
      </w:tr>
      <w:tr>
        <w:tc>
          <w:tcPr>
            <w:tcW w:w="4989" w:type="dxa"/>
          </w:tcPr>
          <w:p>
            <w:pPr>
              <w:pStyle w:val="0"/>
            </w:pPr>
            <w:r>
              <w:rPr>
                <w:sz w:val="24"/>
              </w:rPr>
              <w:t xml:space="preserve">Адрес регистрации по месту жительства или месту пребывания заявителя/руководителя проекта</w:t>
            </w:r>
          </w:p>
        </w:tc>
        <w:tc>
          <w:tcPr>
            <w:tcW w:w="4082" w:type="dxa"/>
          </w:tcPr>
          <w:p>
            <w:pPr>
              <w:pStyle w:val="0"/>
            </w:pPr>
            <w:r>
              <w:rPr>
                <w:sz w:val="24"/>
              </w:rPr>
            </w:r>
          </w:p>
        </w:tc>
      </w:tr>
      <w:tr>
        <w:tc>
          <w:tcPr>
            <w:tcW w:w="4989" w:type="dxa"/>
          </w:tcPr>
          <w:p>
            <w:pPr>
              <w:pStyle w:val="0"/>
            </w:pPr>
            <w:r>
              <w:rPr>
                <w:sz w:val="24"/>
              </w:rPr>
              <w:t xml:space="preserve">Фактический адрес проживания заявителя/руководителя проекта</w:t>
            </w:r>
          </w:p>
        </w:tc>
        <w:tc>
          <w:tcPr>
            <w:tcW w:w="4082" w:type="dxa"/>
          </w:tcPr>
          <w:p>
            <w:pPr>
              <w:pStyle w:val="0"/>
            </w:pPr>
            <w:r>
              <w:rPr>
                <w:sz w:val="24"/>
              </w:rPr>
            </w:r>
          </w:p>
        </w:tc>
      </w:tr>
      <w:tr>
        <w:tc>
          <w:tcPr>
            <w:tcW w:w="4989" w:type="dxa"/>
          </w:tcPr>
          <w:p>
            <w:pPr>
              <w:pStyle w:val="0"/>
            </w:pPr>
            <w:r>
              <w:rPr>
                <w:sz w:val="24"/>
              </w:rPr>
              <w:t xml:space="preserve">Контактные данные заявителя/руководителя проекта (телефон, e-mail)</w:t>
            </w:r>
          </w:p>
        </w:tc>
        <w:tc>
          <w:tcPr>
            <w:tcW w:w="4082" w:type="dxa"/>
          </w:tcPr>
          <w:p>
            <w:pPr>
              <w:pStyle w:val="0"/>
            </w:pPr>
            <w:r>
              <w:rPr>
                <w:sz w:val="24"/>
              </w:rPr>
            </w:r>
          </w:p>
        </w:tc>
      </w:tr>
    </w:tbl>
    <w:p>
      <w:pPr>
        <w:pStyle w:val="0"/>
        <w:jc w:val="both"/>
      </w:pPr>
      <w:r>
        <w:rPr>
          <w:sz w:val="24"/>
        </w:rPr>
      </w:r>
    </w:p>
    <w:p>
      <w:pPr>
        <w:pStyle w:val="0"/>
        <w:jc w:val="center"/>
        <w:outlineLvl w:val="2"/>
      </w:pPr>
      <w:r>
        <w:rPr>
          <w:sz w:val="24"/>
        </w:rPr>
        <w:t xml:space="preserve">2. О проекте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989"/>
        <w:gridCol w:w="4082"/>
      </w:tblGrid>
      <w:tr>
        <w:tc>
          <w:tcPr>
            <w:tcW w:w="4989" w:type="dxa"/>
          </w:tcPr>
          <w:p>
            <w:pPr>
              <w:pStyle w:val="0"/>
            </w:pPr>
            <w:r>
              <w:rPr>
                <w:sz w:val="24"/>
              </w:rPr>
              <w:t xml:space="preserve">Название проекта (полное)</w:t>
            </w:r>
          </w:p>
        </w:tc>
        <w:tc>
          <w:tcPr>
            <w:tcW w:w="4082" w:type="dxa"/>
          </w:tcPr>
          <w:p>
            <w:pPr>
              <w:pStyle w:val="0"/>
            </w:pPr>
            <w:r>
              <w:rPr>
                <w:sz w:val="24"/>
              </w:rPr>
            </w:r>
          </w:p>
        </w:tc>
      </w:tr>
      <w:tr>
        <w:tc>
          <w:tcPr>
            <w:tcW w:w="4989" w:type="dxa"/>
          </w:tcPr>
          <w:p>
            <w:pPr>
              <w:pStyle w:val="0"/>
            </w:pPr>
            <w:r>
              <w:rPr>
                <w:sz w:val="24"/>
              </w:rPr>
              <w:t xml:space="preserve">Краткое описание проекта</w:t>
            </w:r>
          </w:p>
          <w:p>
            <w:pPr>
              <w:pStyle w:val="0"/>
            </w:pPr>
            <w:r>
              <w:rPr>
                <w:sz w:val="24"/>
              </w:rPr>
              <w:t xml:space="preserve">(краткая текстовая презентация проекта, отражающая основную идею проекта и его содержание (объем не менее 500 и не более 1500 слов))</w:t>
            </w:r>
          </w:p>
        </w:tc>
        <w:tc>
          <w:tcPr>
            <w:tcW w:w="4082" w:type="dxa"/>
          </w:tcPr>
          <w:p>
            <w:pPr>
              <w:pStyle w:val="0"/>
            </w:pPr>
            <w:r>
              <w:rPr>
                <w:sz w:val="24"/>
              </w:rPr>
            </w:r>
          </w:p>
        </w:tc>
      </w:tr>
      <w:tr>
        <w:tc>
          <w:tcPr>
            <w:tcW w:w="4989" w:type="dxa"/>
          </w:tcPr>
          <w:p>
            <w:pPr>
              <w:pStyle w:val="0"/>
            </w:pPr>
            <w:r>
              <w:rPr>
                <w:sz w:val="24"/>
              </w:rPr>
              <w:t xml:space="preserve">Цель проекта</w:t>
            </w:r>
          </w:p>
        </w:tc>
        <w:tc>
          <w:tcPr>
            <w:tcW w:w="4082" w:type="dxa"/>
          </w:tcPr>
          <w:p>
            <w:pPr>
              <w:pStyle w:val="0"/>
            </w:pPr>
            <w:r>
              <w:rPr>
                <w:sz w:val="24"/>
              </w:rPr>
            </w:r>
          </w:p>
        </w:tc>
      </w:tr>
      <w:tr>
        <w:tc>
          <w:tcPr>
            <w:tcW w:w="4989" w:type="dxa"/>
          </w:tcPr>
          <w:p>
            <w:pPr>
              <w:pStyle w:val="0"/>
            </w:pPr>
            <w:r>
              <w:rPr>
                <w:sz w:val="24"/>
              </w:rPr>
              <w:t xml:space="preserve">Задачи проекта</w:t>
            </w:r>
          </w:p>
        </w:tc>
        <w:tc>
          <w:tcPr>
            <w:tcW w:w="4082" w:type="dxa"/>
          </w:tcPr>
          <w:p>
            <w:pPr>
              <w:pStyle w:val="0"/>
            </w:pPr>
            <w:r>
              <w:rPr>
                <w:sz w:val="24"/>
              </w:rPr>
            </w:r>
          </w:p>
        </w:tc>
      </w:tr>
      <w:tr>
        <w:tc>
          <w:tcPr>
            <w:tcW w:w="4989" w:type="dxa"/>
          </w:tcPr>
          <w:p>
            <w:pPr>
              <w:pStyle w:val="0"/>
            </w:pPr>
            <w:r>
              <w:rPr>
                <w:sz w:val="24"/>
              </w:rPr>
              <w:t xml:space="preserve">Проблема, на решение которой направлен проект</w:t>
            </w:r>
          </w:p>
        </w:tc>
        <w:tc>
          <w:tcPr>
            <w:tcW w:w="4082" w:type="dxa"/>
          </w:tcPr>
          <w:p>
            <w:pPr>
              <w:pStyle w:val="0"/>
            </w:pPr>
            <w:r>
              <w:rPr>
                <w:sz w:val="24"/>
              </w:rPr>
            </w:r>
          </w:p>
        </w:tc>
      </w:tr>
      <w:tr>
        <w:tc>
          <w:tcPr>
            <w:tcW w:w="4989" w:type="dxa"/>
          </w:tcPr>
          <w:p>
            <w:pPr>
              <w:pStyle w:val="0"/>
            </w:pPr>
            <w:r>
              <w:rPr>
                <w:sz w:val="24"/>
              </w:rPr>
              <w:t xml:space="preserve">История проекта</w:t>
            </w:r>
          </w:p>
          <w:p>
            <w:pPr>
              <w:pStyle w:val="0"/>
            </w:pPr>
            <w:r>
              <w:rPr>
                <w:sz w:val="24"/>
              </w:rPr>
              <w:t xml:space="preserve">(в случае реализации проекта повторно/ежегодно)</w:t>
            </w:r>
          </w:p>
        </w:tc>
        <w:tc>
          <w:tcPr>
            <w:tcW w:w="4082" w:type="dxa"/>
          </w:tcPr>
          <w:p>
            <w:pPr>
              <w:pStyle w:val="0"/>
            </w:pPr>
            <w:r>
              <w:rPr>
                <w:sz w:val="24"/>
              </w:rPr>
            </w:r>
          </w:p>
        </w:tc>
      </w:tr>
      <w:tr>
        <w:tc>
          <w:tcPr>
            <w:tcW w:w="4989" w:type="dxa"/>
          </w:tcPr>
          <w:p>
            <w:pPr>
              <w:pStyle w:val="0"/>
            </w:pPr>
            <w:r>
              <w:rPr>
                <w:sz w:val="24"/>
              </w:rPr>
              <w:t xml:space="preserve">Целевая группа проекта</w:t>
            </w:r>
          </w:p>
          <w:p>
            <w:pPr>
              <w:pStyle w:val="0"/>
            </w:pPr>
            <w:r>
              <w:rPr>
                <w:sz w:val="24"/>
              </w:rPr>
              <w:t xml:space="preserve">и предполагаемое количество участников (указать целевую группу проекта и предполагаемое количество ее участников. Целевая группа проекта - группа людей, на которую направлен результат проекта и которая получает пользу от проекта)</w:t>
            </w:r>
          </w:p>
        </w:tc>
        <w:tc>
          <w:tcPr>
            <w:tcW w:w="4082" w:type="dxa"/>
          </w:tcPr>
          <w:p>
            <w:pPr>
              <w:pStyle w:val="0"/>
            </w:pPr>
            <w:r>
              <w:rPr>
                <w:sz w:val="24"/>
              </w:rPr>
            </w:r>
          </w:p>
        </w:tc>
      </w:tr>
      <w:tr>
        <w:tc>
          <w:tcPr>
            <w:tcW w:w="4989" w:type="dxa"/>
          </w:tcPr>
          <w:p>
            <w:pPr>
              <w:pStyle w:val="0"/>
            </w:pPr>
            <w:r>
              <w:rPr>
                <w:sz w:val="24"/>
              </w:rPr>
              <w:t xml:space="preserve">Сроки реализации проекта</w:t>
            </w:r>
          </w:p>
          <w:p>
            <w:pPr>
              <w:pStyle w:val="0"/>
            </w:pPr>
            <w:r>
              <w:rPr>
                <w:sz w:val="24"/>
              </w:rPr>
              <w:t xml:space="preserve">(следует указать определенные даты начала и завершения проекта)</w:t>
            </w:r>
          </w:p>
        </w:tc>
        <w:tc>
          <w:tcPr>
            <w:tcW w:w="4082" w:type="dxa"/>
          </w:tcPr>
          <w:p>
            <w:pPr>
              <w:pStyle w:val="0"/>
            </w:pPr>
            <w:r>
              <w:rPr>
                <w:sz w:val="24"/>
              </w:rPr>
            </w:r>
          </w:p>
        </w:tc>
      </w:tr>
      <w:tr>
        <w:tc>
          <w:tcPr>
            <w:tcW w:w="4989" w:type="dxa"/>
          </w:tcPr>
          <w:p>
            <w:pPr>
              <w:pStyle w:val="0"/>
            </w:pPr>
            <w:r>
              <w:rPr>
                <w:sz w:val="24"/>
              </w:rPr>
              <w:t xml:space="preserve">Место реализации проекта</w:t>
            </w:r>
          </w:p>
          <w:p>
            <w:pPr>
              <w:pStyle w:val="0"/>
            </w:pPr>
            <w:r>
              <w:rPr>
                <w:sz w:val="24"/>
              </w:rPr>
              <w:t xml:space="preserve">(указать территорию реализации проекта: наименования городов и районов Удмуртской Республики, в которых планируется его реализация)</w:t>
            </w:r>
          </w:p>
        </w:tc>
        <w:tc>
          <w:tcPr>
            <w:tcW w:w="4082" w:type="dxa"/>
          </w:tcPr>
          <w:p>
            <w:pPr>
              <w:pStyle w:val="0"/>
            </w:pPr>
            <w:r>
              <w:rPr>
                <w:sz w:val="24"/>
              </w:rPr>
            </w:r>
          </w:p>
        </w:tc>
      </w:tr>
      <w:tr>
        <w:tc>
          <w:tcPr>
            <w:tcW w:w="4989" w:type="dxa"/>
          </w:tcPr>
          <w:p>
            <w:pPr>
              <w:pStyle w:val="0"/>
            </w:pPr>
            <w:r>
              <w:rPr>
                <w:sz w:val="24"/>
              </w:rPr>
              <w:t xml:space="preserve">Партнеры проекта</w:t>
            </w:r>
          </w:p>
          <w:p>
            <w:pPr>
              <w:pStyle w:val="0"/>
            </w:pPr>
            <w:r>
              <w:rPr>
                <w:sz w:val="24"/>
              </w:rPr>
              <w:t xml:space="preserve">(указать партнеров проекта (наименования юридических лиц, фамилии, имена и отчества индивидуальных предпринимателей, наименования органов государственной власти или органов местного самоуправления), которые готовы оказать информационную, консультационную, организационную, материальную и (или) иную поддержку при реализации проекта)</w:t>
            </w:r>
          </w:p>
        </w:tc>
        <w:tc>
          <w:tcPr>
            <w:tcW w:w="4082" w:type="dxa"/>
          </w:tcPr>
          <w:p>
            <w:pPr>
              <w:pStyle w:val="0"/>
            </w:pPr>
            <w:r>
              <w:rPr>
                <w:sz w:val="24"/>
              </w:rPr>
            </w:r>
          </w:p>
        </w:tc>
      </w:tr>
      <w:tr>
        <w:tc>
          <w:tcPr>
            <w:tcW w:w="4989" w:type="dxa"/>
          </w:tcPr>
          <w:p>
            <w:pPr>
              <w:pStyle w:val="0"/>
            </w:pPr>
            <w:r>
              <w:rPr>
                <w:sz w:val="24"/>
              </w:rPr>
              <w:t xml:space="preserve">Количество созданных продуктов (ресурсов) (указать виды и количество продуктов (ресурсов) на государственных языках Удмуртской Республики и иных языках народов Удмуртской Республики в рамках реализации проекта (например: "в рамках реализации проекта будут созданы классические настольные игры, 7 приложений по изучению языков или подготовлено 5 обучающих видеороликов"))</w:t>
            </w:r>
          </w:p>
        </w:tc>
        <w:tc>
          <w:tcPr>
            <w:tcW w:w="4082" w:type="dxa"/>
          </w:tcPr>
          <w:p>
            <w:pPr>
              <w:pStyle w:val="0"/>
            </w:pPr>
            <w:r>
              <w:rPr>
                <w:sz w:val="24"/>
              </w:rPr>
            </w:r>
          </w:p>
        </w:tc>
      </w:tr>
      <w:tr>
        <w:tc>
          <w:tcPr>
            <w:tcW w:w="4989" w:type="dxa"/>
          </w:tcPr>
          <w:p>
            <w:pPr>
              <w:pStyle w:val="0"/>
            </w:pPr>
            <w:r>
              <w:rPr>
                <w:sz w:val="24"/>
              </w:rPr>
              <w:t xml:space="preserve">Описание позитивных изменений, которые произойдут в результате реализации проекта</w:t>
            </w:r>
          </w:p>
        </w:tc>
        <w:tc>
          <w:tcPr>
            <w:tcW w:w="4082" w:type="dxa"/>
          </w:tcPr>
          <w:p>
            <w:pPr>
              <w:pStyle w:val="0"/>
            </w:pPr>
            <w:r>
              <w:rPr>
                <w:sz w:val="24"/>
              </w:rPr>
            </w:r>
          </w:p>
        </w:tc>
      </w:tr>
      <w:tr>
        <w:tc>
          <w:tcPr>
            <w:tcW w:w="4989" w:type="dxa"/>
          </w:tcPr>
          <w:p>
            <w:pPr>
              <w:pStyle w:val="0"/>
            </w:pPr>
            <w:r>
              <w:rPr>
                <w:sz w:val="24"/>
              </w:rPr>
              <w:t xml:space="preserve">Дополнительные сведения о проекте</w:t>
            </w:r>
          </w:p>
        </w:tc>
        <w:tc>
          <w:tcPr>
            <w:tcW w:w="4082" w:type="dxa"/>
          </w:tcPr>
          <w:p>
            <w:pPr>
              <w:pStyle w:val="0"/>
            </w:pPr>
            <w:r>
              <w:rPr>
                <w:sz w:val="24"/>
              </w:rPr>
            </w:r>
          </w:p>
        </w:tc>
      </w:tr>
    </w:tbl>
    <w:p>
      <w:pPr>
        <w:pStyle w:val="0"/>
        <w:jc w:val="both"/>
      </w:pPr>
      <w:r>
        <w:rPr>
          <w:sz w:val="24"/>
        </w:rPr>
      </w:r>
    </w:p>
    <w:p>
      <w:pPr>
        <w:pStyle w:val="0"/>
        <w:jc w:val="center"/>
        <w:outlineLvl w:val="2"/>
      </w:pPr>
      <w:r>
        <w:rPr>
          <w:sz w:val="24"/>
        </w:rPr>
        <w:t xml:space="preserve">3. Обоснование актуальности и общественной</w:t>
      </w:r>
    </w:p>
    <w:p>
      <w:pPr>
        <w:pStyle w:val="0"/>
        <w:jc w:val="center"/>
      </w:pPr>
      <w:r>
        <w:rPr>
          <w:sz w:val="24"/>
        </w:rPr>
        <w:t xml:space="preserve">значимости проекта</w:t>
      </w:r>
    </w:p>
    <w:p>
      <w:pPr>
        <w:pStyle w:val="0"/>
        <w:jc w:val="both"/>
      </w:pPr>
      <w:r>
        <w:rPr>
          <w:sz w:val="24"/>
        </w:rPr>
      </w:r>
    </w:p>
    <w:tbl>
      <w:tblPr>
        <w:tblInd w:w="0" w:type="dxa"/>
        <w:tblBorders>
          <w:top w:val="single" w:sz="4"/>
          <w:left w:val="single" w:sz="4"/>
          <w:bottom w:val="single" w:sz="4"/>
          <w:right w:val="single" w:sz="4"/>
          <w:insideH w:val="single" w:sz="4"/>
        </w:tblBorders>
        <w:tblLayout w:type="fixed"/>
        <w:tblCellMar>
          <w:left w:w="62" w:type="dxa"/>
          <w:top w:w="102" w:type="dxa"/>
          <w:right w:w="62" w:type="dxa"/>
          <w:bottom w:w="102" w:type="dxa"/>
        </w:tblCellMar>
      </w:tblPr>
      <w:tblGrid>
        <w:gridCol w:w="9071"/>
      </w:tblGrid>
      <w:tr>
        <w:tc>
          <w:tcPr>
            <w:tcW w:w="9071" w:type="dxa"/>
            <w:tcBorders>
              <w:left w:val="single" w:sz="4"/>
              <w:right w:val="single" w:sz="4"/>
            </w:tcBorders>
          </w:tcPr>
          <w:p>
            <w:pPr>
              <w:pStyle w:val="0"/>
              <w:jc w:val="center"/>
            </w:pPr>
            <w:r>
              <w:rPr>
                <w:sz w:val="24"/>
              </w:rPr>
              <w:t xml:space="preserve">Обоснование актуальности и общественной значимости проекта (не более 1 страницы)</w:t>
            </w:r>
          </w:p>
        </w:tc>
      </w:tr>
      <w:tr>
        <w:tc>
          <w:tcPr>
            <w:tcW w:w="9071" w:type="dxa"/>
            <w:tcBorders>
              <w:left w:val="single" w:sz="4"/>
              <w:right w:val="single" w:sz="4"/>
            </w:tcBorders>
          </w:tcPr>
          <w:p>
            <w:pPr>
              <w:pStyle w:val="0"/>
            </w:pPr>
            <w:r>
              <w:rPr>
                <w:sz w:val="24"/>
              </w:rPr>
            </w:r>
          </w:p>
        </w:tc>
      </w:tr>
    </w:tbl>
    <w:p>
      <w:pPr>
        <w:pStyle w:val="0"/>
        <w:jc w:val="both"/>
      </w:pPr>
      <w:r>
        <w:rPr>
          <w:sz w:val="24"/>
        </w:rPr>
      </w:r>
    </w:p>
    <w:p>
      <w:pPr>
        <w:pStyle w:val="0"/>
        <w:jc w:val="center"/>
        <w:outlineLvl w:val="2"/>
      </w:pPr>
      <w:r>
        <w:rPr>
          <w:sz w:val="24"/>
        </w:rPr>
        <w:t xml:space="preserve">4. Календарный план реализации проекта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60"/>
        <w:gridCol w:w="1984"/>
        <w:gridCol w:w="3061"/>
        <w:gridCol w:w="3366"/>
      </w:tblGrid>
      <w:tr>
        <w:tc>
          <w:tcPr>
            <w:tcW w:w="9071" w:type="dxa"/>
            <w:gridSpan w:val="4"/>
          </w:tcPr>
          <w:p>
            <w:pPr>
              <w:pStyle w:val="0"/>
              <w:jc w:val="center"/>
            </w:pPr>
            <w:r>
              <w:rPr>
                <w:sz w:val="24"/>
              </w:rPr>
              <w:t xml:space="preserve">Описание основных мероприятий, планируемых к реализации в рамках проекта, этапы и сроки их реализации</w:t>
            </w:r>
          </w:p>
        </w:tc>
      </w:tr>
      <w:tr>
        <w:tc>
          <w:tcPr>
            <w:tcW w:w="660" w:type="dxa"/>
          </w:tcPr>
          <w:p>
            <w:pPr>
              <w:pStyle w:val="0"/>
              <w:jc w:val="center"/>
            </w:pPr>
            <w:r>
              <w:rPr>
                <w:sz w:val="24"/>
              </w:rPr>
              <w:t xml:space="preserve">N п/п</w:t>
            </w:r>
          </w:p>
        </w:tc>
        <w:tc>
          <w:tcPr>
            <w:tcW w:w="1984" w:type="dxa"/>
          </w:tcPr>
          <w:p>
            <w:pPr>
              <w:pStyle w:val="0"/>
              <w:jc w:val="center"/>
            </w:pPr>
            <w:r>
              <w:rPr>
                <w:sz w:val="24"/>
              </w:rPr>
              <w:t xml:space="preserve">Этап реализации</w:t>
            </w:r>
          </w:p>
        </w:tc>
        <w:tc>
          <w:tcPr>
            <w:tcW w:w="3061" w:type="dxa"/>
          </w:tcPr>
          <w:p>
            <w:pPr>
              <w:pStyle w:val="0"/>
              <w:jc w:val="center"/>
            </w:pPr>
            <w:r>
              <w:rPr>
                <w:sz w:val="24"/>
              </w:rPr>
              <w:t xml:space="preserve">Наименование мероприятий, проводимых в рамках этапа реализации проекта</w:t>
            </w:r>
          </w:p>
        </w:tc>
        <w:tc>
          <w:tcPr>
            <w:tcW w:w="3366" w:type="dxa"/>
          </w:tcPr>
          <w:p>
            <w:pPr>
              <w:pStyle w:val="0"/>
              <w:jc w:val="center"/>
            </w:pPr>
            <w:r>
              <w:rPr>
                <w:sz w:val="24"/>
              </w:rPr>
              <w:t xml:space="preserve">Срок реализации этапа</w:t>
            </w:r>
          </w:p>
        </w:tc>
      </w:tr>
      <w:tr>
        <w:tc>
          <w:tcPr>
            <w:tcW w:w="660" w:type="dxa"/>
          </w:tcPr>
          <w:p>
            <w:pPr>
              <w:pStyle w:val="0"/>
              <w:jc w:val="center"/>
            </w:pPr>
            <w:r>
              <w:rPr>
                <w:sz w:val="24"/>
              </w:rPr>
              <w:t xml:space="preserve">1</w:t>
            </w:r>
          </w:p>
        </w:tc>
        <w:tc>
          <w:tcPr>
            <w:tcW w:w="1984" w:type="dxa"/>
          </w:tcPr>
          <w:p>
            <w:pPr>
              <w:pStyle w:val="0"/>
              <w:jc w:val="center"/>
            </w:pPr>
            <w:r>
              <w:rPr>
                <w:sz w:val="24"/>
              </w:rPr>
              <w:t xml:space="preserve">2</w:t>
            </w:r>
          </w:p>
        </w:tc>
        <w:tc>
          <w:tcPr>
            <w:tcW w:w="3061" w:type="dxa"/>
          </w:tcPr>
          <w:p>
            <w:pPr>
              <w:pStyle w:val="0"/>
              <w:jc w:val="center"/>
            </w:pPr>
            <w:r>
              <w:rPr>
                <w:sz w:val="24"/>
              </w:rPr>
              <w:t xml:space="preserve">3</w:t>
            </w:r>
          </w:p>
        </w:tc>
        <w:tc>
          <w:tcPr>
            <w:tcW w:w="3366" w:type="dxa"/>
          </w:tcPr>
          <w:p>
            <w:pPr>
              <w:pStyle w:val="0"/>
              <w:jc w:val="center"/>
            </w:pPr>
            <w:r>
              <w:rPr>
                <w:sz w:val="24"/>
              </w:rPr>
              <w:t xml:space="preserve">4</w:t>
            </w:r>
          </w:p>
        </w:tc>
      </w:tr>
      <w:tr>
        <w:tc>
          <w:tcPr>
            <w:tcW w:w="660" w:type="dxa"/>
          </w:tcPr>
          <w:p>
            <w:pPr>
              <w:pStyle w:val="0"/>
              <w:jc w:val="center"/>
            </w:pPr>
            <w:r>
              <w:rPr>
                <w:sz w:val="24"/>
              </w:rPr>
              <w:t xml:space="preserve">1</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r>
        <w:tc>
          <w:tcPr>
            <w:tcW w:w="660" w:type="dxa"/>
          </w:tcPr>
          <w:p>
            <w:pPr>
              <w:pStyle w:val="0"/>
              <w:jc w:val="center"/>
            </w:pPr>
            <w:r>
              <w:rPr>
                <w:sz w:val="24"/>
              </w:rPr>
              <w:t xml:space="preserve">2</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r>
        <w:tc>
          <w:tcPr>
            <w:tcW w:w="660" w:type="dxa"/>
          </w:tcPr>
          <w:p>
            <w:pPr>
              <w:pStyle w:val="0"/>
              <w:jc w:val="center"/>
            </w:pPr>
            <w:r>
              <w:rPr>
                <w:sz w:val="24"/>
              </w:rPr>
              <w:t xml:space="preserve">...</w:t>
            </w:r>
          </w:p>
        </w:tc>
        <w:tc>
          <w:tcPr>
            <w:tcW w:w="1984" w:type="dxa"/>
          </w:tcPr>
          <w:p>
            <w:pPr>
              <w:pStyle w:val="0"/>
            </w:pPr>
            <w:r>
              <w:rPr>
                <w:sz w:val="24"/>
              </w:rPr>
            </w:r>
          </w:p>
        </w:tc>
        <w:tc>
          <w:tcPr>
            <w:tcW w:w="3061" w:type="dxa"/>
          </w:tcPr>
          <w:p>
            <w:pPr>
              <w:pStyle w:val="0"/>
            </w:pPr>
            <w:r>
              <w:rPr>
                <w:sz w:val="24"/>
              </w:rPr>
            </w:r>
          </w:p>
        </w:tc>
        <w:tc>
          <w:tcPr>
            <w:tcW w:w="3366" w:type="dxa"/>
          </w:tcPr>
          <w:p>
            <w:pPr>
              <w:pStyle w:val="0"/>
            </w:pPr>
            <w:r>
              <w:rPr>
                <w:sz w:val="24"/>
              </w:rPr>
            </w:r>
          </w:p>
        </w:tc>
      </w:tr>
    </w:tbl>
    <w:p>
      <w:pPr>
        <w:pStyle w:val="0"/>
        <w:jc w:val="both"/>
      </w:pPr>
      <w:r>
        <w:rPr>
          <w:sz w:val="24"/>
        </w:rPr>
      </w:r>
    </w:p>
    <w:p>
      <w:pPr>
        <w:pStyle w:val="0"/>
        <w:jc w:val="center"/>
        <w:outlineLvl w:val="2"/>
      </w:pPr>
      <w:r>
        <w:rPr>
          <w:sz w:val="24"/>
        </w:rPr>
        <w:t xml:space="preserve">5. Финансово-экономическое обоснование проекта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80"/>
        <w:gridCol w:w="1474"/>
        <w:gridCol w:w="1531"/>
        <w:gridCol w:w="1304"/>
        <w:gridCol w:w="1191"/>
        <w:gridCol w:w="1587"/>
        <w:gridCol w:w="1304"/>
      </w:tblGrid>
      <w:tr>
        <w:tc>
          <w:tcPr>
            <w:tcW w:w="9071" w:type="dxa"/>
            <w:gridSpan w:val="7"/>
          </w:tcPr>
          <w:p>
            <w:pPr>
              <w:pStyle w:val="0"/>
              <w:jc w:val="center"/>
            </w:pPr>
            <w:r>
              <w:rPr>
                <w:sz w:val="24"/>
              </w:rPr>
              <w:t xml:space="preserve">Финансово-экономическое обоснование проекта</w:t>
            </w:r>
          </w:p>
        </w:tc>
      </w:tr>
      <w:tr>
        <w:tc>
          <w:tcPr>
            <w:tcW w:w="680" w:type="dxa"/>
          </w:tcPr>
          <w:p>
            <w:pPr>
              <w:pStyle w:val="0"/>
              <w:jc w:val="center"/>
            </w:pPr>
            <w:r>
              <w:rPr>
                <w:sz w:val="24"/>
              </w:rPr>
              <w:t xml:space="preserve">N п/п</w:t>
            </w:r>
          </w:p>
        </w:tc>
        <w:tc>
          <w:tcPr>
            <w:tcW w:w="1474" w:type="dxa"/>
          </w:tcPr>
          <w:p>
            <w:pPr>
              <w:pStyle w:val="0"/>
              <w:jc w:val="center"/>
            </w:pPr>
            <w:r>
              <w:rPr>
                <w:sz w:val="24"/>
              </w:rPr>
              <w:t xml:space="preserve">Наименование расходов</w:t>
            </w:r>
          </w:p>
        </w:tc>
        <w:tc>
          <w:tcPr>
            <w:tcW w:w="1531" w:type="dxa"/>
          </w:tcPr>
          <w:p>
            <w:pPr>
              <w:pStyle w:val="0"/>
              <w:jc w:val="center"/>
            </w:pPr>
            <w:r>
              <w:rPr>
                <w:sz w:val="24"/>
              </w:rPr>
              <w:t xml:space="preserve">Количество единиц, штук</w:t>
            </w:r>
          </w:p>
        </w:tc>
        <w:tc>
          <w:tcPr>
            <w:tcW w:w="1304" w:type="dxa"/>
          </w:tcPr>
          <w:p>
            <w:pPr>
              <w:pStyle w:val="0"/>
              <w:jc w:val="center"/>
            </w:pPr>
            <w:r>
              <w:rPr>
                <w:sz w:val="24"/>
              </w:rPr>
              <w:t xml:space="preserve">Стоимость единицы, рублей</w:t>
            </w:r>
          </w:p>
        </w:tc>
        <w:tc>
          <w:tcPr>
            <w:tcW w:w="1191" w:type="dxa"/>
          </w:tcPr>
          <w:p>
            <w:pPr>
              <w:pStyle w:val="0"/>
              <w:jc w:val="center"/>
            </w:pPr>
            <w:r>
              <w:rPr>
                <w:sz w:val="24"/>
              </w:rPr>
              <w:t xml:space="preserve">Бюджетные средства, рублей</w:t>
            </w:r>
          </w:p>
        </w:tc>
        <w:tc>
          <w:tcPr>
            <w:tcW w:w="1587" w:type="dxa"/>
          </w:tcPr>
          <w:p>
            <w:pPr>
              <w:pStyle w:val="0"/>
              <w:jc w:val="center"/>
            </w:pPr>
            <w:r>
              <w:rPr>
                <w:sz w:val="24"/>
              </w:rPr>
              <w:t xml:space="preserve">Внебюджетные, в т.ч. собственные, средства, рублей</w:t>
            </w:r>
          </w:p>
        </w:tc>
        <w:tc>
          <w:tcPr>
            <w:tcW w:w="1304" w:type="dxa"/>
          </w:tcPr>
          <w:p>
            <w:pPr>
              <w:pStyle w:val="0"/>
              <w:jc w:val="center"/>
            </w:pPr>
            <w:r>
              <w:rPr>
                <w:sz w:val="24"/>
              </w:rPr>
              <w:t xml:space="preserve">Обоснование расходов</w:t>
            </w:r>
          </w:p>
        </w:tc>
      </w:tr>
      <w:tr>
        <w:tc>
          <w:tcPr>
            <w:tcW w:w="680" w:type="dxa"/>
          </w:tcPr>
          <w:p>
            <w:pPr>
              <w:pStyle w:val="0"/>
              <w:jc w:val="center"/>
            </w:pPr>
            <w:r>
              <w:rPr>
                <w:sz w:val="24"/>
              </w:rPr>
              <w:t xml:space="preserve">1</w:t>
            </w:r>
          </w:p>
        </w:tc>
        <w:tc>
          <w:tcPr>
            <w:tcW w:w="1474" w:type="dxa"/>
          </w:tcPr>
          <w:p>
            <w:pPr>
              <w:pStyle w:val="0"/>
              <w:jc w:val="center"/>
            </w:pPr>
            <w:r>
              <w:rPr>
                <w:sz w:val="24"/>
              </w:rPr>
              <w:t xml:space="preserve">2</w:t>
            </w:r>
          </w:p>
        </w:tc>
        <w:tc>
          <w:tcPr>
            <w:tcW w:w="1531" w:type="dxa"/>
          </w:tcPr>
          <w:p>
            <w:pPr>
              <w:pStyle w:val="0"/>
              <w:jc w:val="center"/>
            </w:pPr>
            <w:r>
              <w:rPr>
                <w:sz w:val="24"/>
              </w:rPr>
              <w:t xml:space="preserve">3</w:t>
            </w:r>
          </w:p>
        </w:tc>
        <w:tc>
          <w:tcPr>
            <w:tcW w:w="1304" w:type="dxa"/>
          </w:tcPr>
          <w:p>
            <w:pPr>
              <w:pStyle w:val="0"/>
              <w:jc w:val="center"/>
            </w:pPr>
            <w:r>
              <w:rPr>
                <w:sz w:val="24"/>
              </w:rPr>
              <w:t xml:space="preserve">4</w:t>
            </w:r>
          </w:p>
        </w:tc>
        <w:tc>
          <w:tcPr>
            <w:tcW w:w="1191" w:type="dxa"/>
          </w:tcPr>
          <w:p>
            <w:pPr>
              <w:pStyle w:val="0"/>
              <w:jc w:val="center"/>
            </w:pPr>
            <w:r>
              <w:rPr>
                <w:sz w:val="24"/>
              </w:rPr>
              <w:t xml:space="preserve">5</w:t>
            </w:r>
          </w:p>
        </w:tc>
        <w:tc>
          <w:tcPr>
            <w:tcW w:w="1587" w:type="dxa"/>
          </w:tcPr>
          <w:p>
            <w:pPr>
              <w:pStyle w:val="0"/>
              <w:jc w:val="center"/>
            </w:pPr>
            <w:r>
              <w:rPr>
                <w:sz w:val="24"/>
              </w:rPr>
              <w:t xml:space="preserve">6</w:t>
            </w:r>
          </w:p>
        </w:tc>
        <w:tc>
          <w:tcPr>
            <w:tcW w:w="1304" w:type="dxa"/>
          </w:tcPr>
          <w:p>
            <w:pPr>
              <w:pStyle w:val="0"/>
              <w:jc w:val="center"/>
            </w:pPr>
            <w:r>
              <w:rPr>
                <w:sz w:val="24"/>
              </w:rPr>
              <w:t xml:space="preserve">7</w:t>
            </w:r>
          </w:p>
        </w:tc>
      </w:tr>
      <w:tr>
        <w:tc>
          <w:tcPr>
            <w:tcW w:w="680" w:type="dxa"/>
          </w:tcPr>
          <w:p>
            <w:pPr>
              <w:pStyle w:val="0"/>
              <w:jc w:val="center"/>
            </w:pPr>
            <w:r>
              <w:rPr>
                <w:sz w:val="24"/>
              </w:rPr>
              <w:t xml:space="preserve">1</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680" w:type="dxa"/>
          </w:tcPr>
          <w:p>
            <w:pPr>
              <w:pStyle w:val="0"/>
              <w:jc w:val="center"/>
            </w:pPr>
            <w:r>
              <w:rPr>
                <w:sz w:val="24"/>
              </w:rPr>
              <w:t xml:space="preserve">2</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680" w:type="dxa"/>
          </w:tcPr>
          <w:p>
            <w:pPr>
              <w:pStyle w:val="0"/>
              <w:jc w:val="center"/>
            </w:pPr>
            <w:r>
              <w:rPr>
                <w:sz w:val="24"/>
              </w:rPr>
              <w:t xml:space="preserve">...</w:t>
            </w:r>
          </w:p>
        </w:tc>
        <w:tc>
          <w:tcPr>
            <w:tcW w:w="1474" w:type="dxa"/>
          </w:tcPr>
          <w:p>
            <w:pPr>
              <w:pStyle w:val="0"/>
            </w:pPr>
            <w:r>
              <w:rPr>
                <w:sz w:val="24"/>
              </w:rPr>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r>
        <w:tc>
          <w:tcPr>
            <w:tcW w:w="2154" w:type="dxa"/>
            <w:gridSpan w:val="2"/>
          </w:tcPr>
          <w:p>
            <w:pPr>
              <w:pStyle w:val="0"/>
            </w:pPr>
            <w:r>
              <w:rPr>
                <w:sz w:val="24"/>
              </w:rPr>
              <w:t xml:space="preserve">Итого</w:t>
            </w:r>
          </w:p>
        </w:tc>
        <w:tc>
          <w:tcPr>
            <w:tcW w:w="1531" w:type="dxa"/>
          </w:tcPr>
          <w:p>
            <w:pPr>
              <w:pStyle w:val="0"/>
            </w:pPr>
            <w:r>
              <w:rPr>
                <w:sz w:val="24"/>
              </w:rPr>
            </w:r>
          </w:p>
        </w:tc>
        <w:tc>
          <w:tcPr>
            <w:tcW w:w="1304"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304" w:type="dxa"/>
          </w:tcPr>
          <w:p>
            <w:pPr>
              <w:pStyle w:val="0"/>
            </w:pPr>
            <w:r>
              <w:rPr>
                <w:sz w:val="24"/>
              </w:rPr>
            </w:r>
          </w:p>
        </w:tc>
      </w:tr>
    </w:tbl>
    <w:p>
      <w:pPr>
        <w:pStyle w:val="0"/>
        <w:jc w:val="both"/>
      </w:pPr>
      <w:r>
        <w:rPr>
          <w:sz w:val="24"/>
        </w:rPr>
      </w:r>
    </w:p>
    <w:p>
      <w:pPr>
        <w:pStyle w:val="0"/>
        <w:jc w:val="center"/>
        <w:outlineLvl w:val="2"/>
      </w:pPr>
      <w:r>
        <w:rPr>
          <w:sz w:val="24"/>
        </w:rPr>
        <w:t xml:space="preserve">6. Ожидаемые результаты реализации проекта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948"/>
        <w:gridCol w:w="3572"/>
        <w:gridCol w:w="2551"/>
      </w:tblGrid>
      <w:tr>
        <w:tc>
          <w:tcPr>
            <w:tcW w:w="9071" w:type="dxa"/>
            <w:gridSpan w:val="3"/>
          </w:tcPr>
          <w:p>
            <w:pPr>
              <w:pStyle w:val="0"/>
              <w:jc w:val="center"/>
            </w:pPr>
            <w:r>
              <w:rPr>
                <w:sz w:val="24"/>
              </w:rPr>
              <w:t xml:space="preserve">Результат предоставления гранта</w:t>
            </w:r>
          </w:p>
        </w:tc>
      </w:tr>
      <w:tr>
        <w:tc>
          <w:tcPr>
            <w:tcW w:w="2948" w:type="dxa"/>
            <w:vMerge w:val="restart"/>
          </w:tcPr>
          <w:p>
            <w:pPr>
              <w:pStyle w:val="0"/>
            </w:pPr>
            <w:r>
              <w:rPr>
                <w:sz w:val="24"/>
              </w:rPr>
            </w:r>
          </w:p>
        </w:tc>
        <w:tc>
          <w:tcPr>
            <w:tcW w:w="3572" w:type="dxa"/>
          </w:tcPr>
          <w:p>
            <w:pPr>
              <w:pStyle w:val="0"/>
            </w:pPr>
            <w:r>
              <w:rPr>
                <w:sz w:val="24"/>
              </w:rPr>
              <w:t xml:space="preserve">Результат</w:t>
            </w:r>
          </w:p>
        </w:tc>
        <w:tc>
          <w:tcPr>
            <w:tcW w:w="2551" w:type="dxa"/>
          </w:tcPr>
          <w:p>
            <w:pPr>
              <w:pStyle w:val="0"/>
            </w:pPr>
            <w:r>
              <w:rPr>
                <w:sz w:val="24"/>
              </w:rPr>
              <w:t xml:space="preserve">Плановое значение результата</w:t>
            </w:r>
          </w:p>
        </w:tc>
      </w:tr>
      <w:tr>
        <w:tc>
          <w:tcPr>
            <w:vMerge w:val="continue"/>
          </w:tcPr>
          <w:p/>
        </w:tc>
        <w:tc>
          <w:tcPr>
            <w:tcW w:w="3572" w:type="dxa"/>
          </w:tcPr>
          <w:p>
            <w:pPr>
              <w:pStyle w:val="0"/>
            </w:pPr>
            <w:r>
              <w:rPr>
                <w:sz w:val="24"/>
              </w:rPr>
              <w:t xml:space="preserve">Количество реализованных проектов</w:t>
            </w:r>
          </w:p>
        </w:tc>
        <w:tc>
          <w:tcPr>
            <w:tcW w:w="2551" w:type="dxa"/>
          </w:tcPr>
          <w:p>
            <w:pPr>
              <w:pStyle w:val="0"/>
            </w:pPr>
            <w:r>
              <w:rPr>
                <w:sz w:val="24"/>
              </w:rPr>
            </w:r>
          </w:p>
        </w:tc>
      </w:tr>
      <w:tr>
        <w:tc>
          <w:tcPr>
            <w:tcW w:w="2948" w:type="dxa"/>
          </w:tcPr>
          <w:p>
            <w:pPr>
              <w:pStyle w:val="0"/>
            </w:pPr>
            <w:r>
              <w:rPr>
                <w:sz w:val="24"/>
              </w:rPr>
              <w:t xml:space="preserve">Характеристики результата предоставления гранта</w:t>
            </w:r>
          </w:p>
        </w:tc>
        <w:tc>
          <w:tcPr>
            <w:tcW w:w="3572" w:type="dxa"/>
          </w:tcPr>
          <w:p>
            <w:pPr>
              <w:pStyle w:val="0"/>
            </w:pPr>
            <w:r>
              <w:rPr>
                <w:sz w:val="24"/>
              </w:rPr>
              <w:t xml:space="preserve">Характеристики</w:t>
            </w:r>
          </w:p>
        </w:tc>
        <w:tc>
          <w:tcPr>
            <w:tcW w:w="2551" w:type="dxa"/>
          </w:tcPr>
          <w:p>
            <w:pPr>
              <w:pStyle w:val="0"/>
            </w:pPr>
            <w:r>
              <w:rPr>
                <w:sz w:val="24"/>
              </w:rPr>
              <w:t xml:space="preserve">Плановое значение характеристик</w:t>
            </w:r>
          </w:p>
        </w:tc>
      </w:tr>
      <w:tr>
        <w:tc>
          <w:tcPr>
            <w:tcW w:w="2948" w:type="dxa"/>
            <w:vMerge w:val="restart"/>
          </w:tcPr>
          <w:p>
            <w:pPr>
              <w:pStyle w:val="0"/>
            </w:pPr>
            <w:r>
              <w:rPr>
                <w:sz w:val="24"/>
              </w:rPr>
            </w:r>
          </w:p>
        </w:tc>
        <w:tc>
          <w:tcPr>
            <w:tcW w:w="3572" w:type="dxa"/>
          </w:tcPr>
          <w:p>
            <w:pPr>
              <w:pStyle w:val="0"/>
            </w:pPr>
            <w:r>
              <w:rPr>
                <w:sz w:val="24"/>
              </w:rPr>
              <w:t xml:space="preserve">количество созданных продуктов (ресурсов) в рамках реализации молодежного проекта (единиц)</w:t>
            </w:r>
          </w:p>
        </w:tc>
        <w:tc>
          <w:tcPr>
            <w:tcW w:w="2551" w:type="dxa"/>
          </w:tcPr>
          <w:p>
            <w:pPr>
              <w:pStyle w:val="0"/>
            </w:pPr>
            <w:r>
              <w:rPr>
                <w:sz w:val="24"/>
              </w:rPr>
            </w:r>
          </w:p>
        </w:tc>
      </w:tr>
      <w:tr>
        <w:tc>
          <w:tcPr>
            <w:vMerge w:val="continue"/>
          </w:tcPr>
          <w:p/>
        </w:tc>
        <w:tc>
          <w:tcPr>
            <w:tcW w:w="3572" w:type="dxa"/>
          </w:tcPr>
          <w:p>
            <w:pPr>
              <w:pStyle w:val="0"/>
            </w:pPr>
            <w:r>
              <w:rPr>
                <w:sz w:val="24"/>
              </w:rPr>
              <w:t xml:space="preserve">количество участников, принявших участие в молодежном проекте (человек)</w:t>
            </w:r>
          </w:p>
        </w:tc>
        <w:tc>
          <w:tcPr>
            <w:tcW w:w="2551" w:type="dxa"/>
          </w:tcPr>
          <w:p>
            <w:pPr>
              <w:pStyle w:val="0"/>
            </w:pPr>
            <w:r>
              <w:rPr>
                <w:sz w:val="24"/>
              </w:rPr>
            </w:r>
          </w:p>
        </w:tc>
      </w:tr>
      <w:tr>
        <w:tc>
          <w:tcPr>
            <w:vMerge w:val="continue"/>
          </w:tcPr>
          <w:p/>
        </w:tc>
        <w:tc>
          <w:tcPr>
            <w:tcW w:w="3572" w:type="dxa"/>
          </w:tcPr>
          <w:p>
            <w:pPr>
              <w:pStyle w:val="0"/>
            </w:pPr>
            <w:r>
              <w:rPr>
                <w:sz w:val="24"/>
              </w:rPr>
              <w:t xml:space="preserve">количество уникальных размещений (публикаций в средствах массовой информации и социальных сетях) о реализации молодежного проекта и презентации созданного продукта (ресурса) (единиц)</w:t>
            </w:r>
          </w:p>
        </w:tc>
        <w:tc>
          <w:tcPr>
            <w:tcW w:w="2551" w:type="dxa"/>
          </w:tcPr>
          <w:p>
            <w:pPr>
              <w:pStyle w:val="0"/>
            </w:pPr>
            <w:r>
              <w:rPr>
                <w:sz w:val="24"/>
              </w:rPr>
            </w:r>
          </w:p>
        </w:tc>
      </w:tr>
    </w:tbl>
    <w:p>
      <w:pPr>
        <w:pStyle w:val="0"/>
        <w:jc w:val="both"/>
      </w:pPr>
      <w:r>
        <w:rPr>
          <w:sz w:val="24"/>
        </w:rPr>
      </w:r>
    </w:p>
    <w:p>
      <w:pPr>
        <w:pStyle w:val="1"/>
        <w:jc w:val="both"/>
      </w:pPr>
      <w:r>
        <w:rPr>
          <w:sz w:val="20"/>
        </w:rPr>
        <w:t xml:space="preserve">___________________ _____________________________</w:t>
      </w:r>
    </w:p>
    <w:p>
      <w:pPr>
        <w:pStyle w:val="1"/>
        <w:jc w:val="both"/>
      </w:pPr>
      <w:r>
        <w:rPr>
          <w:sz w:val="20"/>
        </w:rPr>
        <w:t xml:space="preserve">(подпись заявителя) (фамилия, инициалы заявителя)</w:t>
      </w:r>
    </w:p>
    <w:p>
      <w:pPr>
        <w:pStyle w:val="1"/>
        <w:jc w:val="both"/>
      </w:pPr>
      <w:r>
        <w:rPr>
          <w:sz w:val="20"/>
        </w:rPr>
      </w:r>
    </w:p>
    <w:p>
      <w:pPr>
        <w:pStyle w:val="1"/>
        <w:jc w:val="both"/>
      </w:pPr>
      <w:r>
        <w:rPr>
          <w:sz w:val="20"/>
        </w:rPr>
        <w:t xml:space="preserve">"__" ____________ 20__ года</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15.10.2025 N 599</w:t>
            <w:br/>
            <w:t xml:space="preserve">(ред. от 05.05.2026)</w:t>
            <w:br/>
            <w:t xml:space="preserve">"Об утверждении Порядка предоставления грантов 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03.07.2026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15.10.2025 N 599</w:t>
            <w:br/>
            <w:t xml:space="preserve">(ред. от 05.05.2026)</w:t>
            <w:br/>
            <w:t xml:space="preserve">"Об утверждении Порядка предоставления грантов 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03.07.2026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JurTerm"/>
    <w:pPr>
      <w:widowControl w:val="off"/>
    </w:pPr>
    <w:rPr>
      <w:rFonts w:ascii="Tahoma" w:hAnsi="Tahoma" w:cs="Tahoma"/>
      <w:sz w:val="26"/>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9"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wmf"/><Relationship Id="rId14" Type="http://schemas.openxmlformats.org/officeDocument/2006/relationships/image" Target="media/media1.svg"/></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Р7-Офис/2026.1.2.1942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15.10.2025 N 599
(ред. от 05.05.2026)
"Об утверждении Порядка предоставления грантов в форме субсидий на реализацию молодежных проектов в сфере государственной национальной политики"</dc:title>
  <cp:lastModifiedBy>korepanov_aiu</cp:lastModifiedBy>
  <dcterms:created xsi:type="dcterms:W3CDTF">2026-07-03T07:39:14Z</dcterms:created>
</cp:coreProperties>
</file>